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B53BD" w14:textId="5BD2F9F4" w:rsidR="5F85C59A" w:rsidRDefault="0CC5FD7F" w:rsidP="0CC5FD7F">
      <w:pPr>
        <w:pStyle w:val="Heading1"/>
        <w:spacing w:before="235"/>
        <w:ind w:left="764" w:right="755" w:firstLine="0"/>
        <w:jc w:val="center"/>
        <w:rPr>
          <w:rFonts w:asciiTheme="minorHAnsi" w:eastAsiaTheme="minorEastAsia" w:hAnsiTheme="minorHAnsi" w:cstheme="minorBidi"/>
        </w:rPr>
      </w:pPr>
      <w:r w:rsidRPr="0CC5FD7F">
        <w:rPr>
          <w:rFonts w:asciiTheme="minorHAnsi" w:eastAsiaTheme="minorEastAsia" w:hAnsiTheme="minorHAnsi" w:cstheme="minorBidi"/>
          <w:b w:val="0"/>
          <w:bCs w:val="0"/>
          <w:sz w:val="46"/>
          <w:szCs w:val="46"/>
        </w:rPr>
        <w:t>Controlling Greek GDP and Debt with a Post-Keynesian model</w:t>
      </w:r>
    </w:p>
    <w:p w14:paraId="0167093B" w14:textId="77777777" w:rsidR="005D57AB" w:rsidRPr="00744269" w:rsidRDefault="005D57AB" w:rsidP="5F85C59A">
      <w:pPr>
        <w:pStyle w:val="BodyText"/>
        <w:rPr>
          <w:rFonts w:asciiTheme="minorHAnsi" w:eastAsiaTheme="minorEastAsia" w:hAnsiTheme="minorHAnsi" w:cstheme="minorBidi"/>
          <w:sz w:val="22"/>
          <w:szCs w:val="22"/>
        </w:rPr>
      </w:pPr>
    </w:p>
    <w:p w14:paraId="2E84F5E9" w14:textId="10E88E24" w:rsidR="5F85C59A" w:rsidRDefault="7339071B" w:rsidP="7339071B">
      <w:pPr>
        <w:pStyle w:val="BodyText"/>
        <w:rPr>
          <w:rFonts w:asciiTheme="minorHAnsi" w:eastAsiaTheme="minorEastAsia" w:hAnsiTheme="minorHAnsi" w:cstheme="minorBidi"/>
        </w:rPr>
      </w:pPr>
      <w:r w:rsidRPr="7339071B">
        <w:rPr>
          <w:rFonts w:asciiTheme="minorHAnsi" w:eastAsiaTheme="minorEastAsia" w:hAnsiTheme="minorHAnsi" w:cstheme="minorBidi"/>
          <w:sz w:val="32"/>
          <w:szCs w:val="32"/>
        </w:rPr>
        <w:t>National and Kapodistrian University of Athens. Department of Economics</w:t>
      </w:r>
    </w:p>
    <w:p w14:paraId="084EC0B5" w14:textId="77777777" w:rsidR="005D57AB" w:rsidRPr="00744269" w:rsidRDefault="005D57AB" w:rsidP="005D57A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04398EC" w14:textId="77777777" w:rsidR="005D57AB" w:rsidRPr="00744269" w:rsidRDefault="005D57AB" w:rsidP="005D57A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C4E8647" w14:textId="73401F18" w:rsidR="005D57AB" w:rsidRPr="00744269" w:rsidRDefault="005D57AB" w:rsidP="005D57AB">
      <w:pPr>
        <w:pStyle w:val="BodyText"/>
        <w:spacing w:before="10"/>
        <w:rPr>
          <w:rFonts w:asciiTheme="minorHAnsi" w:hAnsiTheme="minorHAnsi" w:cstheme="minorHAnsi"/>
          <w:sz w:val="14"/>
          <w:szCs w:val="22"/>
        </w:rPr>
      </w:pPr>
      <w:r w:rsidRPr="0074426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474E73" wp14:editId="7220E6B8">
                <wp:simplePos x="0" y="0"/>
                <wp:positionH relativeFrom="page">
                  <wp:posOffset>732790</wp:posOffset>
                </wp:positionH>
                <wp:positionV relativeFrom="paragraph">
                  <wp:posOffset>121920</wp:posOffset>
                </wp:positionV>
                <wp:extent cx="4490720" cy="0"/>
                <wp:effectExtent l="8890" t="5080" r="5715" b="13970"/>
                <wp:wrapTopAndBottom/>
                <wp:docPr id="2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0720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Ευθεία γραμμή σύνδεσης 2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14042mm" from="57.7pt,9.6pt" to="411.3pt,9.6pt" w14:anchorId="7ADCB8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">
                <w10:wrap type="topAndBottom" anchorx="page"/>
              </v:line>
            </w:pict>
          </mc:Fallback>
        </mc:AlternateContent>
      </w:r>
    </w:p>
    <w:p w14:paraId="7B8224E3" w14:textId="77777777" w:rsidR="005D57AB" w:rsidRPr="00744269" w:rsidRDefault="305BAF1E" w:rsidP="305BAF1E">
      <w:pPr>
        <w:pStyle w:val="Heading2"/>
        <w:spacing w:before="134" w:line="480" w:lineRule="auto"/>
        <w:ind w:left="133"/>
        <w:rPr>
          <w:rFonts w:asciiTheme="minorHAnsi" w:hAnsiTheme="minorHAnsi" w:cstheme="minorBidi"/>
          <w:sz w:val="22"/>
          <w:szCs w:val="22"/>
        </w:rPr>
      </w:pPr>
      <w:r w:rsidRPr="305BAF1E">
        <w:rPr>
          <w:rFonts w:asciiTheme="minorHAnsi" w:hAnsiTheme="minorHAnsi" w:cstheme="minorBidi"/>
          <w:sz w:val="22"/>
          <w:szCs w:val="22"/>
        </w:rPr>
        <w:t>Abstract</w:t>
      </w:r>
    </w:p>
    <w:p w14:paraId="49953FCE" w14:textId="77777777" w:rsidR="00744269" w:rsidRDefault="00744269" w:rsidP="00744269">
      <w:pPr>
        <w:pStyle w:val="BodyText"/>
        <w:spacing w:before="40" w:line="280" w:lineRule="auto"/>
        <w:ind w:left="133" w:right="111"/>
        <w:jc w:val="both"/>
        <w:rPr>
          <w:rFonts w:asciiTheme="minorHAnsi" w:hAnsiTheme="minorHAnsi" w:cstheme="minorHAnsi"/>
          <w:sz w:val="22"/>
          <w:szCs w:val="22"/>
        </w:rPr>
      </w:pPr>
    </w:p>
    <w:p w14:paraId="3C2EE42A" w14:textId="4D01653A" w:rsidR="00744269" w:rsidRPr="00744269" w:rsidRDefault="00744269" w:rsidP="00744269">
      <w:pPr>
        <w:pStyle w:val="BodyText"/>
        <w:spacing w:before="40" w:line="280" w:lineRule="auto"/>
        <w:ind w:left="133" w:right="111"/>
        <w:jc w:val="both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>We study whether banks use the allowance for loan losses (ALL) for efficiency</w:t>
      </w:r>
    </w:p>
    <w:p w14:paraId="4ACE032A" w14:textId="38A2A960" w:rsidR="005D57AB" w:rsidRPr="00744269" w:rsidRDefault="00744269" w:rsidP="00744269">
      <w:pPr>
        <w:pStyle w:val="BodyText"/>
        <w:spacing w:before="40" w:line="280" w:lineRule="auto"/>
        <w:ind w:left="133" w:right="111"/>
        <w:jc w:val="both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>or for opportunistic reasons. We find that banks that had higher abnormal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ALL during the period prior to the 2007–2009 crisis engaged in less risk taking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during the pre-crisis period and had a lower probability of failure during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crisis period. In testing earnings management to meet or beat earnings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benchmarks, we find that abnormal ALL is unrelated to next period’s loss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avoidance and just meeting or beating the prior year’s earnings. Our results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suggest that banks use ALL for efficiency and not for opportunistic purposes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744269">
        <w:rPr>
          <w:rFonts w:asciiTheme="minorHAnsi" w:hAnsiTheme="minorHAnsi" w:cstheme="minorHAnsi"/>
          <w:b/>
          <w:bCs/>
          <w:sz w:val="22"/>
          <w:szCs w:val="22"/>
        </w:rPr>
        <w:t>250 words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max)</w:t>
      </w:r>
    </w:p>
    <w:p w14:paraId="3F5F1765" w14:textId="77777777" w:rsidR="00744269" w:rsidRDefault="00744269" w:rsidP="00744269">
      <w:pPr>
        <w:spacing w:before="12"/>
        <w:ind w:firstLine="133"/>
        <w:rPr>
          <w:rFonts w:asciiTheme="minorHAnsi" w:hAnsiTheme="minorHAnsi" w:cstheme="minorHAnsi"/>
          <w:b/>
          <w:szCs w:val="24"/>
        </w:rPr>
      </w:pPr>
    </w:p>
    <w:p w14:paraId="5C5C2EE8" w14:textId="1D272DC3" w:rsidR="005D57AB" w:rsidRPr="00744269" w:rsidRDefault="00C130C3" w:rsidP="00744269">
      <w:pPr>
        <w:spacing w:before="12"/>
        <w:ind w:firstLine="13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J</w:t>
      </w:r>
      <w:r w:rsidR="005D57AB" w:rsidRPr="00744269">
        <w:rPr>
          <w:rFonts w:asciiTheme="minorHAnsi" w:hAnsiTheme="minorHAnsi" w:cstheme="minorHAnsi"/>
          <w:b/>
          <w:szCs w:val="24"/>
        </w:rPr>
        <w:t xml:space="preserve">EL Classifications: </w:t>
      </w:r>
      <w:r w:rsidR="005D57AB" w:rsidRPr="00744269">
        <w:rPr>
          <w:rFonts w:asciiTheme="minorHAnsi" w:hAnsiTheme="minorHAnsi" w:cstheme="minorHAnsi"/>
          <w:szCs w:val="24"/>
        </w:rPr>
        <w:t>G34, G14, M41.</w:t>
      </w:r>
    </w:p>
    <w:p w14:paraId="6095B7FA" w14:textId="6ABFE31C" w:rsidR="00744269" w:rsidRDefault="005D57AB" w:rsidP="005D57AB">
      <w:pPr>
        <w:pStyle w:val="BodyText"/>
        <w:spacing w:before="99" w:line="280" w:lineRule="auto"/>
        <w:ind w:left="133" w:right="111"/>
        <w:jc w:val="both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b/>
          <w:sz w:val="22"/>
          <w:szCs w:val="22"/>
        </w:rPr>
        <w:t xml:space="preserve">Key words: </w:t>
      </w:r>
      <w:r w:rsidRPr="00744269">
        <w:rPr>
          <w:rFonts w:asciiTheme="minorHAnsi" w:hAnsiTheme="minorHAnsi" w:cstheme="minorHAnsi"/>
          <w:sz w:val="22"/>
          <w:szCs w:val="22"/>
        </w:rPr>
        <w:t>Earnings Management, Accounting Standards, IFRS, SMEs</w:t>
      </w:r>
    </w:p>
    <w:p w14:paraId="75DC64BE" w14:textId="655E6BF0" w:rsidR="005D57AB" w:rsidRPr="00744269" w:rsidRDefault="005D57AB" w:rsidP="005D57AB">
      <w:pPr>
        <w:pStyle w:val="BodyText"/>
        <w:spacing w:before="4"/>
        <w:rPr>
          <w:rFonts w:asciiTheme="minorHAnsi" w:hAnsiTheme="minorHAnsi" w:cstheme="minorHAnsi"/>
          <w:sz w:val="14"/>
          <w:szCs w:val="22"/>
        </w:rPr>
      </w:pPr>
      <w:r w:rsidRPr="0074426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9972E2" wp14:editId="735029BF">
                <wp:simplePos x="0" y="0"/>
                <wp:positionH relativeFrom="page">
                  <wp:posOffset>732790</wp:posOffset>
                </wp:positionH>
                <wp:positionV relativeFrom="paragraph">
                  <wp:posOffset>117475</wp:posOffset>
                </wp:positionV>
                <wp:extent cx="4490720" cy="0"/>
                <wp:effectExtent l="8890" t="13335" r="5715" b="5715"/>
                <wp:wrapTopAndBottom/>
                <wp:docPr id="1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0720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Ευθεία γραμμή σύνδεσης 1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14042mm" from="57.7pt,9.25pt" to="411.3pt,9.25pt" w14:anchorId="066F55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">
                <w10:wrap type="topAndBottom" anchorx="page"/>
              </v:line>
            </w:pict>
          </mc:Fallback>
        </mc:AlternateContent>
      </w:r>
    </w:p>
    <w:p w14:paraId="2311CC67" w14:textId="77777777" w:rsidR="005D57AB" w:rsidRPr="00744269" w:rsidRDefault="005D57AB" w:rsidP="005D57A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CDB5D29" w14:textId="77777777" w:rsidR="005D57AB" w:rsidRPr="00744269" w:rsidRDefault="005D57AB" w:rsidP="005D57AB">
      <w:pPr>
        <w:pStyle w:val="Heading1"/>
        <w:numPr>
          <w:ilvl w:val="0"/>
          <w:numId w:val="1"/>
        </w:numPr>
        <w:tabs>
          <w:tab w:val="left" w:pos="433"/>
        </w:tabs>
        <w:spacing w:before="229"/>
        <w:rPr>
          <w:rFonts w:asciiTheme="minorHAnsi" w:hAnsiTheme="minorHAnsi" w:cstheme="minorHAnsi"/>
          <w:sz w:val="28"/>
          <w:szCs w:val="28"/>
        </w:rPr>
      </w:pPr>
      <w:r w:rsidRPr="00744269">
        <w:rPr>
          <w:rFonts w:asciiTheme="minorHAnsi" w:hAnsiTheme="minorHAnsi" w:cstheme="minorHAnsi"/>
          <w:sz w:val="28"/>
          <w:szCs w:val="28"/>
        </w:rPr>
        <w:t>Introduction</w:t>
      </w:r>
    </w:p>
    <w:p w14:paraId="0691F49F" w14:textId="2E21E52B" w:rsidR="005D57AB" w:rsidRPr="00744269" w:rsidRDefault="005D57AB" w:rsidP="005D57AB">
      <w:pPr>
        <w:pStyle w:val="BodyText"/>
        <w:spacing w:before="85" w:line="280" w:lineRule="auto"/>
        <w:ind w:left="113" w:right="111"/>
        <w:jc w:val="both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>Financial reports serve the fundamental notion of providing information about the financial</w:t>
      </w:r>
      <w:r w:rsidRPr="0074426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situation</w:t>
      </w:r>
      <w:r w:rsidRPr="0074426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of</w:t>
      </w:r>
      <w:r w:rsidRPr="0074426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economic</w:t>
      </w:r>
      <w:r w:rsidRPr="0074426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entities</w:t>
      </w:r>
      <w:r w:rsidRPr="0074426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covering</w:t>
      </w:r>
      <w:r w:rsidRPr="0074426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various</w:t>
      </w:r>
      <w:r w:rsidRPr="0074426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aspects</w:t>
      </w:r>
      <w:r w:rsidRPr="0074426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and,</w:t>
      </w:r>
      <w:r w:rsidRPr="0074426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thus,</w:t>
      </w:r>
      <w:r w:rsidRPr="0074426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they</w:t>
      </w:r>
      <w:r w:rsidRPr="0074426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influence</w:t>
      </w:r>
      <w:r w:rsidRPr="0074426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pacing w:val="-3"/>
          <w:sz w:val="22"/>
          <w:szCs w:val="22"/>
        </w:rPr>
        <w:t>capi</w:t>
      </w:r>
      <w:r w:rsidRPr="00744269">
        <w:rPr>
          <w:rFonts w:asciiTheme="minorHAnsi" w:hAnsiTheme="minorHAnsi" w:cstheme="minorHAnsi"/>
          <w:sz w:val="22"/>
          <w:szCs w:val="22"/>
        </w:rPr>
        <w:t>tal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allocation</w:t>
      </w:r>
      <w:r w:rsidRPr="007442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and</w:t>
      </w:r>
      <w:r w:rsidRPr="007442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credit</w:t>
      </w:r>
      <w:r w:rsidRPr="007442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decisions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and</w:t>
      </w:r>
      <w:r w:rsidRPr="007442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provide</w:t>
      </w:r>
      <w:r w:rsidRPr="007442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information</w:t>
      </w:r>
      <w:r w:rsidRPr="007442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of</w:t>
      </w:r>
      <w:r w:rsidRPr="007442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the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prospects</w:t>
      </w:r>
      <w:r w:rsidRPr="007442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of</w:t>
      </w:r>
      <w:r w:rsidRPr="007442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</w:t>
      </w:r>
      <w:r w:rsidRPr="007442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company such</w:t>
      </w:r>
      <w:r w:rsidRPr="0074426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as</w:t>
      </w:r>
      <w:r w:rsidRPr="0074426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income/revenue,</w:t>
      </w:r>
      <w:r w:rsidRPr="0074426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costs/expenses,</w:t>
      </w:r>
      <w:r w:rsidRPr="0074426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assets,</w:t>
      </w:r>
      <w:r w:rsidRPr="0074426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liabilities</w:t>
      </w:r>
      <w:r w:rsidRPr="0074426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and</w:t>
      </w:r>
      <w:r w:rsidRPr="0074426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cash</w:t>
      </w:r>
      <w:r w:rsidRPr="0074426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flows.</w:t>
      </w:r>
      <w:r w:rsidRPr="00744269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As</w:t>
      </w:r>
      <w:r w:rsidRPr="0074426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</w:t>
      </w:r>
      <w:r w:rsidRPr="0074426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result,</w:t>
      </w:r>
      <w:r w:rsidRPr="0074426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the </w:t>
      </w:r>
      <w:r w:rsidRPr="00744269">
        <w:rPr>
          <w:rFonts w:asciiTheme="minorHAnsi" w:hAnsiTheme="minorHAnsi" w:cstheme="minorHAnsi"/>
          <w:sz w:val="22"/>
          <w:szCs w:val="22"/>
        </w:rPr>
        <w:t>health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of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the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accounting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system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influences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the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health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of</w:t>
      </w:r>
      <w:r w:rsidRPr="007442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the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economy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and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the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 xml:space="preserve">distribution of wealth and income therein </w:t>
      </w:r>
      <w:hyperlink w:anchor="_bookmark12" w:history="1">
        <w:r w:rsidRPr="00744269">
          <w:rPr>
            <w:rFonts w:asciiTheme="minorHAnsi" w:hAnsiTheme="minorHAnsi" w:cstheme="minorHAnsi"/>
            <w:sz w:val="22"/>
            <w:szCs w:val="22"/>
          </w:rPr>
          <w:t>(Cooper,</w:t>
        </w:r>
        <w:r w:rsidRPr="00744269">
          <w:rPr>
            <w:rFonts w:asciiTheme="minorHAnsi" w:hAnsiTheme="minorHAnsi" w:cstheme="minorHAnsi"/>
            <w:spacing w:val="-7"/>
            <w:sz w:val="22"/>
            <w:szCs w:val="22"/>
          </w:rPr>
          <w:t xml:space="preserve"> </w:t>
        </w:r>
      </w:hyperlink>
      <w:hyperlink w:anchor="_bookmark12" w:history="1">
        <w:r w:rsidRPr="00744269">
          <w:rPr>
            <w:rFonts w:asciiTheme="minorHAnsi" w:hAnsiTheme="minorHAnsi" w:cstheme="minorHAnsi"/>
            <w:sz w:val="22"/>
            <w:szCs w:val="22"/>
          </w:rPr>
          <w:t>2015).</w:t>
        </w:r>
      </w:hyperlink>
    </w:p>
    <w:p w14:paraId="28621BA7" w14:textId="792B3801" w:rsidR="005D57AB" w:rsidRPr="00744269" w:rsidRDefault="005D57AB" w:rsidP="005D57AB">
      <w:pPr>
        <w:pStyle w:val="BodyText"/>
        <w:spacing w:before="7" w:line="280" w:lineRule="auto"/>
        <w:ind w:left="113" w:firstLine="298"/>
        <w:rPr>
          <w:rFonts w:asciiTheme="minorHAnsi" w:hAnsiTheme="minorHAnsi" w:cstheme="minorHAnsi"/>
          <w:sz w:val="22"/>
          <w:szCs w:val="22"/>
        </w:rPr>
      </w:pPr>
      <w:hyperlink w:anchor="_bookmark11" w:history="1">
        <w:r w:rsidRPr="00744269">
          <w:rPr>
            <w:rFonts w:asciiTheme="minorHAnsi" w:hAnsiTheme="minorHAnsi" w:cstheme="minorHAnsi"/>
            <w:sz w:val="22"/>
            <w:szCs w:val="22"/>
          </w:rPr>
          <w:t xml:space="preserve">Tsalavoutas </w:t>
        </w:r>
      </w:hyperlink>
      <w:hyperlink w:anchor="_bookmark11" w:history="1">
        <w:r w:rsidRPr="00744269">
          <w:rPr>
            <w:rFonts w:asciiTheme="minorHAnsi" w:hAnsiTheme="minorHAnsi" w:cstheme="minorHAnsi"/>
            <w:sz w:val="22"/>
            <w:szCs w:val="22"/>
          </w:rPr>
          <w:t xml:space="preserve">(2017) </w:t>
        </w:r>
      </w:hyperlink>
      <w:r w:rsidRPr="00744269">
        <w:rPr>
          <w:rFonts w:asciiTheme="minorHAnsi" w:hAnsiTheme="minorHAnsi" w:cstheme="minorHAnsi"/>
          <w:sz w:val="22"/>
          <w:szCs w:val="22"/>
        </w:rPr>
        <w:t>has commented every correspondence that we present in our table</w:t>
      </w:r>
    </w:p>
    <w:p w14:paraId="20B393E5" w14:textId="37C2B1A9" w:rsidR="00A15BB6" w:rsidRPr="00744269" w:rsidRDefault="00A15BB6">
      <w:pPr>
        <w:rPr>
          <w:rFonts w:asciiTheme="minorHAnsi" w:hAnsiTheme="minorHAnsi" w:cstheme="minorHAnsi"/>
          <w:sz w:val="24"/>
          <w:szCs w:val="24"/>
        </w:rPr>
      </w:pPr>
    </w:p>
    <w:p w14:paraId="4326760A" w14:textId="358B3FB7" w:rsidR="005D57AB" w:rsidRPr="00744269" w:rsidRDefault="005D57AB">
      <w:pPr>
        <w:rPr>
          <w:rFonts w:asciiTheme="minorHAnsi" w:hAnsiTheme="minorHAnsi" w:cstheme="minorHAnsi"/>
          <w:sz w:val="24"/>
          <w:szCs w:val="24"/>
        </w:rPr>
      </w:pPr>
    </w:p>
    <w:p w14:paraId="28330D2D" w14:textId="0C235F05" w:rsidR="003328FC" w:rsidRPr="00744269" w:rsidRDefault="003328FC" w:rsidP="003328FC">
      <w:pPr>
        <w:pStyle w:val="Heading1"/>
        <w:numPr>
          <w:ilvl w:val="0"/>
          <w:numId w:val="1"/>
        </w:numPr>
        <w:tabs>
          <w:tab w:val="left" w:pos="433"/>
        </w:tabs>
        <w:spacing w:before="229"/>
        <w:rPr>
          <w:rFonts w:asciiTheme="minorHAnsi" w:hAnsiTheme="minorHAnsi" w:cstheme="minorHAnsi"/>
          <w:sz w:val="28"/>
          <w:szCs w:val="28"/>
        </w:rPr>
      </w:pPr>
      <w:r w:rsidRPr="00744269">
        <w:rPr>
          <w:rFonts w:asciiTheme="minorHAnsi" w:hAnsiTheme="minorHAnsi" w:cstheme="minorHAnsi"/>
          <w:sz w:val="28"/>
          <w:szCs w:val="28"/>
        </w:rPr>
        <w:t>Literature review</w:t>
      </w:r>
    </w:p>
    <w:p w14:paraId="3A182067" w14:textId="4A9FEFDA" w:rsidR="005D57AB" w:rsidRPr="00744269" w:rsidRDefault="005D57AB">
      <w:pPr>
        <w:rPr>
          <w:rFonts w:asciiTheme="minorHAnsi" w:hAnsiTheme="minorHAnsi" w:cstheme="minorHAnsi"/>
          <w:sz w:val="24"/>
          <w:szCs w:val="24"/>
        </w:rPr>
      </w:pPr>
    </w:p>
    <w:p w14:paraId="69D8FB1A" w14:textId="77777777" w:rsidR="005D57AB" w:rsidRPr="00744269" w:rsidRDefault="005D57AB" w:rsidP="005D57AB">
      <w:pPr>
        <w:pStyle w:val="Heading1"/>
        <w:numPr>
          <w:ilvl w:val="0"/>
          <w:numId w:val="1"/>
        </w:numPr>
        <w:tabs>
          <w:tab w:val="left" w:pos="433"/>
        </w:tabs>
        <w:rPr>
          <w:rFonts w:asciiTheme="minorHAnsi" w:hAnsiTheme="minorHAnsi" w:cstheme="minorHAnsi"/>
          <w:sz w:val="28"/>
          <w:szCs w:val="28"/>
        </w:rPr>
      </w:pPr>
      <w:r w:rsidRPr="00744269">
        <w:rPr>
          <w:rFonts w:asciiTheme="minorHAnsi" w:hAnsiTheme="minorHAnsi" w:cstheme="minorHAnsi"/>
          <w:sz w:val="28"/>
          <w:szCs w:val="28"/>
        </w:rPr>
        <w:t>Sample and</w:t>
      </w:r>
      <w:r w:rsidRPr="00744269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744269">
        <w:rPr>
          <w:rFonts w:asciiTheme="minorHAnsi" w:hAnsiTheme="minorHAnsi" w:cstheme="minorHAnsi"/>
          <w:sz w:val="28"/>
          <w:szCs w:val="28"/>
        </w:rPr>
        <w:t>Methodology</w:t>
      </w:r>
    </w:p>
    <w:p w14:paraId="44260237" w14:textId="77777777" w:rsidR="005D57AB" w:rsidRPr="00744269" w:rsidRDefault="005D57AB" w:rsidP="005D57AB">
      <w:pPr>
        <w:pStyle w:val="Heading2"/>
        <w:numPr>
          <w:ilvl w:val="1"/>
          <w:numId w:val="1"/>
        </w:numPr>
        <w:tabs>
          <w:tab w:val="left" w:pos="563"/>
        </w:tabs>
        <w:spacing w:before="111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>Sample and</w:t>
      </w:r>
      <w:r w:rsidRPr="007442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Background</w:t>
      </w:r>
    </w:p>
    <w:p w14:paraId="5FE722AB" w14:textId="77777777" w:rsidR="005D57AB" w:rsidRPr="00744269" w:rsidRDefault="005D57AB" w:rsidP="005D57AB">
      <w:pPr>
        <w:spacing w:before="165"/>
        <w:ind w:left="762" w:right="762"/>
        <w:jc w:val="center"/>
        <w:rPr>
          <w:rFonts w:asciiTheme="minorHAnsi" w:hAnsiTheme="minorHAnsi" w:cstheme="minorHAnsi"/>
          <w:szCs w:val="24"/>
        </w:rPr>
      </w:pPr>
      <w:r w:rsidRPr="00744269">
        <w:rPr>
          <w:rFonts w:asciiTheme="minorHAnsi" w:hAnsiTheme="minorHAnsi" w:cstheme="minorHAnsi"/>
          <w:szCs w:val="24"/>
        </w:rPr>
        <w:t>T</w:t>
      </w:r>
      <w:r w:rsidRPr="00744269">
        <w:rPr>
          <w:rFonts w:asciiTheme="minorHAnsi" w:hAnsiTheme="minorHAnsi" w:cstheme="minorHAnsi"/>
          <w:sz w:val="18"/>
          <w:szCs w:val="24"/>
        </w:rPr>
        <w:t xml:space="preserve">ABLE </w:t>
      </w:r>
      <w:r w:rsidRPr="00744269">
        <w:rPr>
          <w:rFonts w:asciiTheme="minorHAnsi" w:hAnsiTheme="minorHAnsi" w:cstheme="minorHAnsi"/>
          <w:szCs w:val="24"/>
        </w:rPr>
        <w:t>2</w:t>
      </w:r>
    </w:p>
    <w:p w14:paraId="4129E797" w14:textId="77777777" w:rsidR="005D57AB" w:rsidRPr="00744269" w:rsidRDefault="005D57AB" w:rsidP="005D57AB">
      <w:pPr>
        <w:pStyle w:val="Heading2"/>
        <w:spacing w:before="10"/>
        <w:ind w:left="762" w:right="762"/>
        <w:jc w:val="center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lastRenderedPageBreak/>
        <w:t>3.1: Sample table 2</w:t>
      </w:r>
    </w:p>
    <w:p w14:paraId="7FA67427" w14:textId="77777777" w:rsidR="005D57AB" w:rsidRPr="00744269" w:rsidRDefault="005D57AB" w:rsidP="005D57AB">
      <w:pPr>
        <w:pStyle w:val="BodyText"/>
        <w:spacing w:before="2"/>
        <w:rPr>
          <w:rFonts w:asciiTheme="minorHAnsi" w:hAnsiTheme="minorHAnsi" w:cstheme="minorHAnsi"/>
          <w:b/>
          <w:sz w:val="7"/>
          <w:szCs w:val="22"/>
        </w:rPr>
      </w:pPr>
    </w:p>
    <w:tbl>
      <w:tblPr>
        <w:tblStyle w:val="TableNormal1"/>
        <w:tblW w:w="0" w:type="auto"/>
        <w:tblInd w:w="1600" w:type="dxa"/>
        <w:tblLayout w:type="fixed"/>
        <w:tblLook w:val="01E0" w:firstRow="1" w:lastRow="1" w:firstColumn="1" w:lastColumn="1" w:noHBand="0" w:noVBand="0"/>
      </w:tblPr>
      <w:tblGrid>
        <w:gridCol w:w="2943"/>
        <w:gridCol w:w="1191"/>
      </w:tblGrid>
      <w:tr w:rsidR="005D57AB" w:rsidRPr="00744269" w14:paraId="7A219F14" w14:textId="77777777" w:rsidTr="00703827">
        <w:trPr>
          <w:trHeight w:val="227"/>
        </w:trPr>
        <w:tc>
          <w:tcPr>
            <w:tcW w:w="2943" w:type="dxa"/>
            <w:tcBorders>
              <w:top w:val="single" w:sz="4" w:space="0" w:color="000000"/>
            </w:tcBorders>
          </w:tcPr>
          <w:p w14:paraId="2FC2F661" w14:textId="77777777" w:rsidR="005D57AB" w:rsidRPr="00744269" w:rsidRDefault="005D57AB" w:rsidP="00703827">
            <w:pPr>
              <w:pStyle w:val="TableParagraph"/>
              <w:spacing w:line="208" w:lineRule="exact"/>
              <w:rPr>
                <w:rFonts w:asciiTheme="minorHAnsi" w:hAnsiTheme="minorHAnsi" w:cstheme="minorHAnsi"/>
                <w:b/>
                <w:szCs w:val="24"/>
              </w:rPr>
            </w:pPr>
            <w:r w:rsidRPr="00744269">
              <w:rPr>
                <w:rFonts w:asciiTheme="minorHAnsi" w:hAnsiTheme="minorHAnsi" w:cstheme="minorHAnsi"/>
                <w:b/>
                <w:szCs w:val="24"/>
              </w:rPr>
              <w:t>Industry</w:t>
            </w:r>
          </w:p>
        </w:tc>
        <w:tc>
          <w:tcPr>
            <w:tcW w:w="1191" w:type="dxa"/>
            <w:tcBorders>
              <w:top w:val="single" w:sz="4" w:space="0" w:color="000000"/>
            </w:tcBorders>
          </w:tcPr>
          <w:p w14:paraId="6572A49A" w14:textId="77777777" w:rsidR="005D57AB" w:rsidRPr="00744269" w:rsidRDefault="005D57AB" w:rsidP="00703827">
            <w:pPr>
              <w:pStyle w:val="TableParagraph"/>
              <w:spacing w:line="208" w:lineRule="exact"/>
              <w:rPr>
                <w:rFonts w:asciiTheme="minorHAnsi" w:hAnsiTheme="minorHAnsi" w:cstheme="minorHAnsi"/>
                <w:b/>
                <w:szCs w:val="24"/>
              </w:rPr>
            </w:pPr>
            <w:r w:rsidRPr="00744269">
              <w:rPr>
                <w:rFonts w:asciiTheme="minorHAnsi" w:hAnsiTheme="minorHAnsi" w:cstheme="minorHAnsi"/>
                <w:b/>
                <w:szCs w:val="24"/>
              </w:rPr>
              <w:t>No of firms</w:t>
            </w:r>
          </w:p>
        </w:tc>
      </w:tr>
      <w:tr w:rsidR="005D57AB" w:rsidRPr="00744269" w14:paraId="54762BC1" w14:textId="77777777" w:rsidTr="00703827">
        <w:trPr>
          <w:trHeight w:val="233"/>
        </w:trPr>
        <w:tc>
          <w:tcPr>
            <w:tcW w:w="2943" w:type="dxa"/>
          </w:tcPr>
          <w:p w14:paraId="76E0BB1F" w14:textId="77777777" w:rsidR="005D57AB" w:rsidRPr="00744269" w:rsidRDefault="005D57AB" w:rsidP="00703827">
            <w:pPr>
              <w:pStyle w:val="TableParagraph"/>
              <w:spacing w:line="213" w:lineRule="exact"/>
              <w:rPr>
                <w:rFonts w:asciiTheme="minorHAnsi" w:hAnsiTheme="minorHAnsi" w:cstheme="minorHAnsi"/>
                <w:szCs w:val="24"/>
              </w:rPr>
            </w:pPr>
            <w:r w:rsidRPr="00744269">
              <w:rPr>
                <w:rFonts w:asciiTheme="minorHAnsi" w:hAnsiTheme="minorHAnsi" w:cstheme="minorHAnsi"/>
                <w:szCs w:val="24"/>
              </w:rPr>
              <w:t>Accounting Services and Sofware</w:t>
            </w:r>
          </w:p>
        </w:tc>
        <w:tc>
          <w:tcPr>
            <w:tcW w:w="1191" w:type="dxa"/>
          </w:tcPr>
          <w:p w14:paraId="26779404" w14:textId="77777777" w:rsidR="005D57AB" w:rsidRPr="00744269" w:rsidRDefault="005D57AB" w:rsidP="00703827">
            <w:pPr>
              <w:pStyle w:val="TableParagraph"/>
              <w:spacing w:line="213" w:lineRule="exact"/>
              <w:rPr>
                <w:rFonts w:asciiTheme="minorHAnsi" w:hAnsiTheme="minorHAnsi" w:cstheme="minorHAnsi"/>
                <w:szCs w:val="24"/>
              </w:rPr>
            </w:pPr>
            <w:r w:rsidRPr="00744269">
              <w:rPr>
                <w:rFonts w:asciiTheme="minorHAnsi" w:hAnsiTheme="minorHAnsi" w:cstheme="minorHAnsi"/>
                <w:szCs w:val="24"/>
              </w:rPr>
              <w:t>10</w:t>
            </w:r>
          </w:p>
        </w:tc>
      </w:tr>
      <w:tr w:rsidR="005D57AB" w:rsidRPr="00744269" w14:paraId="7297A8D6" w14:textId="77777777" w:rsidTr="00703827">
        <w:trPr>
          <w:trHeight w:val="239"/>
        </w:trPr>
        <w:tc>
          <w:tcPr>
            <w:tcW w:w="2943" w:type="dxa"/>
          </w:tcPr>
          <w:p w14:paraId="54795DD5" w14:textId="77777777" w:rsidR="005D57AB" w:rsidRPr="00744269" w:rsidRDefault="005D57AB" w:rsidP="00703827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 w:rsidRPr="00744269">
              <w:rPr>
                <w:rFonts w:asciiTheme="minorHAnsi" w:hAnsiTheme="minorHAnsi" w:cstheme="minorHAnsi"/>
                <w:szCs w:val="24"/>
              </w:rPr>
              <w:t>Administrative</w:t>
            </w:r>
          </w:p>
        </w:tc>
        <w:tc>
          <w:tcPr>
            <w:tcW w:w="1191" w:type="dxa"/>
          </w:tcPr>
          <w:p w14:paraId="4F11A299" w14:textId="77777777" w:rsidR="005D57AB" w:rsidRPr="00744269" w:rsidRDefault="005D57AB" w:rsidP="00703827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 w:rsidRPr="00744269">
              <w:rPr>
                <w:rFonts w:asciiTheme="minorHAnsi" w:hAnsiTheme="minorHAnsi" w:cstheme="minorHAnsi"/>
                <w:szCs w:val="24"/>
              </w:rPr>
              <w:t>141</w:t>
            </w:r>
          </w:p>
        </w:tc>
      </w:tr>
      <w:tr w:rsidR="005D57AB" w:rsidRPr="00744269" w14:paraId="6BC9A6A7" w14:textId="77777777" w:rsidTr="00703827">
        <w:trPr>
          <w:trHeight w:val="239"/>
        </w:trPr>
        <w:tc>
          <w:tcPr>
            <w:tcW w:w="2943" w:type="dxa"/>
          </w:tcPr>
          <w:p w14:paraId="3F35111A" w14:textId="77777777" w:rsidR="005D57AB" w:rsidRPr="00744269" w:rsidRDefault="005D57AB" w:rsidP="00703827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 w:rsidRPr="00744269">
              <w:rPr>
                <w:rFonts w:asciiTheme="minorHAnsi" w:hAnsiTheme="minorHAnsi" w:cstheme="minorHAnsi"/>
                <w:szCs w:val="24"/>
              </w:rPr>
              <w:t>Aesthetics</w:t>
            </w:r>
          </w:p>
        </w:tc>
        <w:tc>
          <w:tcPr>
            <w:tcW w:w="1191" w:type="dxa"/>
          </w:tcPr>
          <w:p w14:paraId="71DDF9EB" w14:textId="77777777" w:rsidR="005D57AB" w:rsidRPr="00744269" w:rsidRDefault="005D57AB" w:rsidP="00703827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 w:rsidRPr="00744269">
              <w:rPr>
                <w:rFonts w:asciiTheme="minorHAnsi" w:hAnsiTheme="minorHAnsi" w:cstheme="minorHAnsi"/>
                <w:szCs w:val="24"/>
              </w:rPr>
              <w:t>81</w:t>
            </w:r>
          </w:p>
        </w:tc>
      </w:tr>
      <w:tr w:rsidR="005D57AB" w:rsidRPr="00744269" w14:paraId="1C8F9253" w14:textId="77777777" w:rsidTr="00703827">
        <w:trPr>
          <w:trHeight w:val="239"/>
        </w:trPr>
        <w:tc>
          <w:tcPr>
            <w:tcW w:w="2943" w:type="dxa"/>
          </w:tcPr>
          <w:p w14:paraId="320B3F4B" w14:textId="77777777" w:rsidR="005D57AB" w:rsidRPr="00744269" w:rsidRDefault="005D57AB" w:rsidP="00703827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 w:rsidRPr="00744269">
              <w:rPr>
                <w:rFonts w:asciiTheme="minorHAnsi" w:hAnsiTheme="minorHAnsi" w:cstheme="minorHAnsi"/>
                <w:szCs w:val="24"/>
              </w:rPr>
              <w:t>Art Exhibitions, Music</w:t>
            </w:r>
          </w:p>
        </w:tc>
        <w:tc>
          <w:tcPr>
            <w:tcW w:w="1191" w:type="dxa"/>
          </w:tcPr>
          <w:p w14:paraId="7487E600" w14:textId="77777777" w:rsidR="005D57AB" w:rsidRPr="00744269" w:rsidRDefault="005D57AB" w:rsidP="00703827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 w:rsidRPr="00744269">
              <w:rPr>
                <w:rFonts w:asciiTheme="minorHAnsi" w:hAnsiTheme="minorHAnsi" w:cstheme="minorHAnsi"/>
                <w:szCs w:val="24"/>
              </w:rPr>
              <w:t>14</w:t>
            </w:r>
          </w:p>
        </w:tc>
      </w:tr>
      <w:tr w:rsidR="005D57AB" w:rsidRPr="00744269" w14:paraId="42E1B18D" w14:textId="77777777" w:rsidTr="00703827">
        <w:trPr>
          <w:trHeight w:val="241"/>
        </w:trPr>
        <w:tc>
          <w:tcPr>
            <w:tcW w:w="2943" w:type="dxa"/>
            <w:tcBorders>
              <w:bottom w:val="single" w:sz="4" w:space="0" w:color="000000"/>
            </w:tcBorders>
          </w:tcPr>
          <w:p w14:paraId="4AED4B99" w14:textId="77777777" w:rsidR="005D57AB" w:rsidRPr="00744269" w:rsidRDefault="005D57AB" w:rsidP="00703827">
            <w:pPr>
              <w:pStyle w:val="TableParagraph"/>
              <w:spacing w:line="227" w:lineRule="exact"/>
              <w:rPr>
                <w:rFonts w:asciiTheme="minorHAnsi" w:hAnsiTheme="minorHAnsi" w:cstheme="minorHAnsi"/>
                <w:szCs w:val="24"/>
              </w:rPr>
            </w:pPr>
            <w:r w:rsidRPr="00744269">
              <w:rPr>
                <w:rFonts w:asciiTheme="minorHAnsi" w:hAnsiTheme="minorHAnsi" w:cstheme="minorHAnsi"/>
                <w:szCs w:val="24"/>
              </w:rPr>
              <w:t>Other Sectors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14:paraId="0C7A176F" w14:textId="77777777" w:rsidR="005D57AB" w:rsidRPr="00744269" w:rsidRDefault="005D57AB" w:rsidP="00703827">
            <w:pPr>
              <w:pStyle w:val="TableParagraph"/>
              <w:spacing w:line="227" w:lineRule="exact"/>
              <w:rPr>
                <w:rFonts w:asciiTheme="minorHAnsi" w:hAnsiTheme="minorHAnsi" w:cstheme="minorHAnsi"/>
                <w:szCs w:val="24"/>
              </w:rPr>
            </w:pPr>
            <w:r w:rsidRPr="00744269">
              <w:rPr>
                <w:rFonts w:asciiTheme="minorHAnsi" w:hAnsiTheme="minorHAnsi" w:cstheme="minorHAnsi"/>
                <w:szCs w:val="24"/>
              </w:rPr>
              <w:t>367</w:t>
            </w:r>
          </w:p>
        </w:tc>
      </w:tr>
      <w:tr w:rsidR="005D57AB" w:rsidRPr="00744269" w14:paraId="6CA7F9A1" w14:textId="77777777" w:rsidTr="00703827">
        <w:trPr>
          <w:trHeight w:val="249"/>
        </w:trPr>
        <w:tc>
          <w:tcPr>
            <w:tcW w:w="2943" w:type="dxa"/>
            <w:tcBorders>
              <w:top w:val="single" w:sz="4" w:space="0" w:color="000000"/>
              <w:bottom w:val="single" w:sz="4" w:space="0" w:color="000000"/>
            </w:tcBorders>
          </w:tcPr>
          <w:p w14:paraId="676538D9" w14:textId="77777777" w:rsidR="005D57AB" w:rsidRPr="00744269" w:rsidRDefault="005D57AB" w:rsidP="00703827">
            <w:pPr>
              <w:pStyle w:val="TableParagraph"/>
              <w:spacing w:line="210" w:lineRule="exact"/>
              <w:rPr>
                <w:rFonts w:asciiTheme="minorHAnsi" w:hAnsiTheme="minorHAnsi" w:cstheme="minorHAnsi"/>
                <w:szCs w:val="24"/>
              </w:rPr>
            </w:pPr>
            <w:r w:rsidRPr="00744269">
              <w:rPr>
                <w:rFonts w:asciiTheme="minorHAnsi" w:hAnsiTheme="minorHAnsi" w:cstheme="minorHAnsi"/>
                <w:szCs w:val="24"/>
              </w:rPr>
              <w:t>Total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14:paraId="3142D9BD" w14:textId="77777777" w:rsidR="005D57AB" w:rsidRPr="00744269" w:rsidRDefault="005D57AB" w:rsidP="00703827">
            <w:pPr>
              <w:pStyle w:val="TableParagraph"/>
              <w:spacing w:line="210" w:lineRule="exact"/>
              <w:rPr>
                <w:rFonts w:asciiTheme="minorHAnsi" w:hAnsiTheme="minorHAnsi" w:cstheme="minorHAnsi"/>
                <w:szCs w:val="24"/>
              </w:rPr>
            </w:pPr>
            <w:r w:rsidRPr="00744269">
              <w:rPr>
                <w:rFonts w:asciiTheme="minorHAnsi" w:hAnsiTheme="minorHAnsi" w:cstheme="minorHAnsi"/>
                <w:szCs w:val="24"/>
              </w:rPr>
              <w:t>4,241</w:t>
            </w:r>
          </w:p>
        </w:tc>
      </w:tr>
    </w:tbl>
    <w:p w14:paraId="03208AC1" w14:textId="77777777" w:rsidR="005D57AB" w:rsidRPr="00744269" w:rsidRDefault="005D57AB" w:rsidP="005D57AB">
      <w:pPr>
        <w:pStyle w:val="BodyText"/>
        <w:spacing w:before="8"/>
        <w:rPr>
          <w:rFonts w:asciiTheme="minorHAnsi" w:hAnsiTheme="minorHAnsi" w:cstheme="minorHAnsi"/>
          <w:b/>
          <w:sz w:val="15"/>
          <w:szCs w:val="22"/>
        </w:rPr>
      </w:pPr>
    </w:p>
    <w:p w14:paraId="1277CBEF" w14:textId="34C45242" w:rsidR="005D57AB" w:rsidRPr="00744269" w:rsidRDefault="00744269" w:rsidP="005D57AB">
      <w:pPr>
        <w:pStyle w:val="BodyText"/>
        <w:spacing w:before="98" w:line="280" w:lineRule="auto"/>
        <w:ind w:left="113" w:right="111" w:firstLine="29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5D57AB" w:rsidRPr="00744269">
        <w:rPr>
          <w:rFonts w:asciiTheme="minorHAnsi" w:hAnsiTheme="minorHAnsi" w:cstheme="minorHAnsi"/>
          <w:sz w:val="22"/>
          <w:szCs w:val="22"/>
        </w:rPr>
        <w:t>verage values of the sample’s most important accounting measures, namely: total assets, fixed assets, sales, receivables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D73DAF" w14:textId="77777777" w:rsidR="005D57AB" w:rsidRPr="00744269" w:rsidRDefault="005D57AB" w:rsidP="005D57AB">
      <w:pPr>
        <w:pStyle w:val="BodyText"/>
        <w:rPr>
          <w:rFonts w:asciiTheme="minorHAnsi" w:hAnsiTheme="minorHAnsi" w:cstheme="minorHAnsi"/>
          <w:sz w:val="24"/>
          <w:szCs w:val="22"/>
        </w:rPr>
      </w:pPr>
    </w:p>
    <w:p w14:paraId="1466335A" w14:textId="77777777" w:rsidR="005D57AB" w:rsidRPr="00744269" w:rsidRDefault="005D57AB" w:rsidP="005D57AB">
      <w:pPr>
        <w:pStyle w:val="Heading2"/>
        <w:numPr>
          <w:ilvl w:val="1"/>
          <w:numId w:val="1"/>
        </w:numPr>
        <w:tabs>
          <w:tab w:val="left" w:pos="563"/>
        </w:tabs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>Methodology</w:t>
      </w:r>
    </w:p>
    <w:p w14:paraId="2FCCAFD4" w14:textId="5B1EC789" w:rsidR="005D57AB" w:rsidRPr="00744269" w:rsidRDefault="005D57AB" w:rsidP="005D57AB">
      <w:pPr>
        <w:pStyle w:val="BodyText"/>
        <w:spacing w:before="94" w:line="280" w:lineRule="auto"/>
        <w:ind w:left="113" w:right="111"/>
        <w:jc w:val="both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 xml:space="preserve">Following </w:t>
      </w:r>
      <w:hyperlink w:anchor="_bookmark10" w:history="1">
        <w:r w:rsidRPr="00744269">
          <w:rPr>
            <w:rFonts w:asciiTheme="minorHAnsi" w:hAnsiTheme="minorHAnsi" w:cstheme="minorHAnsi"/>
            <w:sz w:val="22"/>
            <w:szCs w:val="22"/>
          </w:rPr>
          <w:t>Jeanjean and Stolowy</w:t>
        </w:r>
      </w:hyperlink>
      <w:r w:rsidRPr="00744269">
        <w:rPr>
          <w:rFonts w:asciiTheme="minorHAnsi" w:hAnsiTheme="minorHAnsi" w:cstheme="minorHAnsi"/>
          <w:sz w:val="22"/>
          <w:szCs w:val="22"/>
        </w:rPr>
        <w:t xml:space="preserve"> </w:t>
      </w:r>
      <w:r w:rsidR="005D3513" w:rsidRPr="00744269">
        <w:rPr>
          <w:rFonts w:asciiTheme="minorHAnsi" w:hAnsiTheme="minorHAnsi" w:cstheme="minorHAnsi"/>
          <w:sz w:val="22"/>
          <w:szCs w:val="22"/>
        </w:rPr>
        <w:fldChar w:fldCharType="begin"/>
      </w:r>
      <w:r w:rsidR="005D3513" w:rsidRPr="00744269">
        <w:rPr>
          <w:rFonts w:asciiTheme="minorHAnsi" w:hAnsiTheme="minorHAnsi" w:cstheme="minorHAnsi"/>
          <w:sz w:val="22"/>
          <w:szCs w:val="22"/>
        </w:rPr>
        <w:instrText xml:space="preserve"> ADDIN EN.CITE &lt;EndNote&gt;&lt;Cite ExcludeAuth="1"&gt;&lt;Author&gt;Jeanjean&lt;/Author&gt;&lt;Year&gt;2008&lt;/Year&gt;&lt;RecNum&gt;9395&lt;/RecNum&gt;&lt;DisplayText&gt;(2008)&lt;/DisplayText&gt;&lt;record&gt;&lt;rec-number&gt;9395&lt;/rec-number&gt;&lt;foreign-keys&gt;&lt;key app="EN" db-id="sxz052swgs5a0iezwf6xwppgfv2v0w9d05sr" timestamp="1605035187" guid="99c21cc3-91f6-4275-a91c-efe92b0ec7d9"&gt;9395&lt;/key&gt;&lt;/foreign-keys&gt;&lt;ref-type name="Journal Article"&gt;17&lt;/ref-type&gt;&lt;contributors&gt;&lt;authors&gt;&lt;author&gt;Jeanjean, Thomas&lt;/author&gt;&lt;author&gt;Stolowy, Hervé&lt;/author&gt;&lt;/authors&gt;&lt;/contributors&gt;&lt;titles&gt;&lt;title&gt;Do accounting standards matter? An exploratory analysis of earnings management before and after IFRS adoption&lt;/title&gt;&lt;secondary-title&gt;Journal of accounting and public policy&lt;/secondary-title&gt;&lt;/titles&gt;&lt;periodical&gt;&lt;full-title&gt;Journal of Accounting and Public Policy&lt;/full-title&gt;&lt;/periodical&gt;&lt;pages&gt;480-494&lt;/pages&gt;&lt;volume&gt;27&lt;/volume&gt;&lt;number&gt;6&lt;/number&gt;&lt;dates&gt;&lt;year&gt;2008&lt;/year&gt;&lt;/dates&gt;&lt;isbn&gt;0278-4254&lt;/isbn&gt;&lt;urls&gt;&lt;/urls&gt;&lt;/record&gt;&lt;/Cite&gt;&lt;/EndNote&gt;</w:instrText>
      </w:r>
      <w:r w:rsidR="005D3513" w:rsidRPr="00744269">
        <w:rPr>
          <w:rFonts w:asciiTheme="minorHAnsi" w:hAnsiTheme="minorHAnsi" w:cstheme="minorHAnsi"/>
          <w:sz w:val="22"/>
          <w:szCs w:val="22"/>
        </w:rPr>
        <w:fldChar w:fldCharType="separate"/>
      </w:r>
      <w:r w:rsidR="005D3513" w:rsidRPr="00744269">
        <w:rPr>
          <w:rFonts w:asciiTheme="minorHAnsi" w:hAnsiTheme="minorHAnsi" w:cstheme="minorHAnsi"/>
          <w:noProof/>
          <w:sz w:val="22"/>
          <w:szCs w:val="22"/>
        </w:rPr>
        <w:t>(2008)</w:t>
      </w:r>
      <w:r w:rsidR="005D3513" w:rsidRPr="00744269">
        <w:rPr>
          <w:rFonts w:asciiTheme="minorHAnsi" w:hAnsiTheme="minorHAnsi" w:cstheme="minorHAnsi"/>
          <w:sz w:val="22"/>
          <w:szCs w:val="22"/>
        </w:rPr>
        <w:fldChar w:fldCharType="end"/>
      </w:r>
      <w:r w:rsidRPr="00744269">
        <w:rPr>
          <w:rFonts w:asciiTheme="minorHAnsi" w:hAnsiTheme="minorHAnsi" w:cstheme="minorHAnsi"/>
          <w:sz w:val="22"/>
          <w:szCs w:val="22"/>
        </w:rPr>
        <w:t xml:space="preserve"> </w:t>
      </w:r>
      <w:hyperlink w:anchor="_bookmark9" w:history="1">
        <w:r w:rsidRPr="00744269">
          <w:rPr>
            <w:rFonts w:asciiTheme="minorHAnsi" w:hAnsiTheme="minorHAnsi" w:cstheme="minorHAnsi"/>
            <w:sz w:val="22"/>
            <w:szCs w:val="22"/>
          </w:rPr>
          <w:t>McNichols</w:t>
        </w:r>
      </w:hyperlink>
      <w:r w:rsidRPr="00744269">
        <w:rPr>
          <w:rFonts w:asciiTheme="minorHAnsi" w:hAnsiTheme="minorHAnsi" w:cstheme="minorHAnsi"/>
          <w:sz w:val="22"/>
          <w:szCs w:val="22"/>
        </w:rPr>
        <w:t xml:space="preserve"> </w:t>
      </w:r>
      <w:hyperlink w:anchor="_bookmark9" w:history="1">
        <w:r w:rsidRPr="00744269">
          <w:rPr>
            <w:rFonts w:asciiTheme="minorHAnsi" w:hAnsiTheme="minorHAnsi" w:cstheme="minorHAnsi"/>
            <w:sz w:val="22"/>
            <w:szCs w:val="22"/>
          </w:rPr>
          <w:t>(2000),</w:t>
        </w:r>
      </w:hyperlink>
      <w:r w:rsidRPr="00744269">
        <w:rPr>
          <w:rFonts w:asciiTheme="minorHAnsi" w:hAnsiTheme="minorHAnsi" w:cstheme="minorHAnsi"/>
          <w:sz w:val="22"/>
          <w:szCs w:val="22"/>
        </w:rPr>
        <w:t xml:space="preserve"> </w:t>
      </w:r>
      <w:hyperlink w:anchor="_bookmark8" w:history="1">
        <w:r w:rsidRPr="00744269">
          <w:rPr>
            <w:rFonts w:asciiTheme="minorHAnsi" w:hAnsiTheme="minorHAnsi" w:cstheme="minorHAnsi"/>
            <w:sz w:val="22"/>
            <w:szCs w:val="22"/>
          </w:rPr>
          <w:t>Stolowy and Breton</w:t>
        </w:r>
      </w:hyperlink>
      <w:r w:rsidRPr="00744269">
        <w:rPr>
          <w:rFonts w:asciiTheme="minorHAnsi" w:hAnsiTheme="minorHAnsi" w:cstheme="minorHAnsi"/>
          <w:sz w:val="22"/>
          <w:szCs w:val="22"/>
        </w:rPr>
        <w:t xml:space="preserve"> </w:t>
      </w:r>
      <w:hyperlink w:anchor="_bookmark8" w:history="1">
        <w:r w:rsidRPr="00744269">
          <w:rPr>
            <w:rFonts w:asciiTheme="minorHAnsi" w:hAnsiTheme="minorHAnsi" w:cstheme="minorHAnsi"/>
            <w:sz w:val="22"/>
            <w:szCs w:val="22"/>
          </w:rPr>
          <w:t xml:space="preserve">(2004), </w:t>
        </w:r>
      </w:hyperlink>
      <w:hyperlink w:anchor="_bookmark7" w:history="1">
        <w:r w:rsidRPr="00744269">
          <w:rPr>
            <w:rFonts w:asciiTheme="minorHAnsi" w:hAnsiTheme="minorHAnsi" w:cstheme="minorHAnsi"/>
            <w:sz w:val="22"/>
            <w:szCs w:val="22"/>
          </w:rPr>
          <w:t xml:space="preserve">(Glaum, </w:t>
        </w:r>
      </w:hyperlink>
      <w:hyperlink w:anchor="_bookmark7" w:history="1">
        <w:r w:rsidRPr="00744269">
          <w:rPr>
            <w:rFonts w:asciiTheme="minorHAnsi" w:hAnsiTheme="minorHAnsi" w:cstheme="minorHAnsi"/>
            <w:sz w:val="22"/>
            <w:szCs w:val="22"/>
          </w:rPr>
          <w:t xml:space="preserve">2009), </w:t>
        </w:r>
      </w:hyperlink>
      <w:r w:rsidRPr="00744269">
        <w:rPr>
          <w:rFonts w:asciiTheme="minorHAnsi" w:hAnsiTheme="minorHAnsi" w:cstheme="minorHAnsi"/>
          <w:sz w:val="22"/>
          <w:szCs w:val="22"/>
        </w:rPr>
        <w:t xml:space="preserve">the research design for the studies on earnings management are classified into three categories: those that use discretionary accruals </w:t>
      </w:r>
      <w:hyperlink w:anchor="_bookmark6" w:history="1">
        <w:r w:rsidRPr="00744269">
          <w:rPr>
            <w:rFonts w:asciiTheme="minorHAnsi" w:hAnsiTheme="minorHAnsi" w:cstheme="minorHAnsi"/>
            <w:sz w:val="22"/>
            <w:szCs w:val="22"/>
          </w:rPr>
          <w:t xml:space="preserve">(Dechow </w:t>
        </w:r>
        <w:r w:rsidRPr="00744269">
          <w:rPr>
            <w:rFonts w:asciiTheme="minorHAnsi" w:hAnsiTheme="minorHAnsi" w:cstheme="minorHAnsi"/>
            <w:i/>
            <w:sz w:val="22"/>
            <w:szCs w:val="22"/>
          </w:rPr>
          <w:t>et al.</w:t>
        </w:r>
      </w:hyperlink>
      <w:r w:rsidRPr="00744269">
        <w:rPr>
          <w:rFonts w:asciiTheme="minorHAnsi" w:hAnsiTheme="minorHAnsi" w:cstheme="minorHAnsi"/>
          <w:sz w:val="22"/>
          <w:szCs w:val="22"/>
        </w:rPr>
        <w:t xml:space="preserve">, </w:t>
      </w:r>
      <w:hyperlink w:anchor="_bookmark6" w:history="1">
        <w:r w:rsidRPr="00744269">
          <w:rPr>
            <w:rFonts w:asciiTheme="minorHAnsi" w:hAnsiTheme="minorHAnsi" w:cstheme="minorHAnsi"/>
            <w:sz w:val="22"/>
            <w:szCs w:val="22"/>
          </w:rPr>
          <w:t>1995),</w:t>
        </w:r>
      </w:hyperlink>
      <w:r w:rsidRPr="00744269">
        <w:rPr>
          <w:rFonts w:asciiTheme="minorHAnsi" w:hAnsiTheme="minorHAnsi" w:cstheme="minorHAnsi"/>
          <w:sz w:val="22"/>
          <w:szCs w:val="22"/>
        </w:rPr>
        <w:t xml:space="preserve"> those that use specific accruals </w:t>
      </w:r>
      <w:hyperlink w:anchor="_bookmark5" w:history="1">
        <w:r w:rsidRPr="00744269">
          <w:rPr>
            <w:rFonts w:asciiTheme="minorHAnsi" w:hAnsiTheme="minorHAnsi" w:cstheme="minorHAnsi"/>
            <w:sz w:val="22"/>
            <w:szCs w:val="22"/>
          </w:rPr>
          <w:t>(McNichols and Wilson,</w:t>
        </w:r>
      </w:hyperlink>
      <w:r w:rsidRPr="00744269">
        <w:rPr>
          <w:rFonts w:asciiTheme="minorHAnsi" w:hAnsiTheme="minorHAnsi" w:cstheme="minorHAnsi"/>
          <w:sz w:val="22"/>
          <w:szCs w:val="22"/>
        </w:rPr>
        <w:t xml:space="preserve"> </w:t>
      </w:r>
      <w:hyperlink w:anchor="_bookmark5" w:history="1">
        <w:r w:rsidRPr="00744269">
          <w:rPr>
            <w:rFonts w:asciiTheme="minorHAnsi" w:hAnsiTheme="minorHAnsi" w:cstheme="minorHAnsi"/>
            <w:sz w:val="22"/>
            <w:szCs w:val="22"/>
          </w:rPr>
          <w:t>1988),</w:t>
        </w:r>
      </w:hyperlink>
      <w:r w:rsidRPr="00744269">
        <w:rPr>
          <w:rFonts w:asciiTheme="minorHAnsi" w:hAnsiTheme="minorHAnsi" w:cstheme="minorHAnsi"/>
          <w:sz w:val="22"/>
          <w:szCs w:val="22"/>
        </w:rPr>
        <w:t xml:space="preserve"> and those 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that </w:t>
      </w:r>
      <w:r w:rsidRPr="00744269">
        <w:rPr>
          <w:rFonts w:asciiTheme="minorHAnsi" w:hAnsiTheme="minorHAnsi" w:cstheme="minorHAnsi"/>
          <w:sz w:val="22"/>
          <w:szCs w:val="22"/>
        </w:rPr>
        <w:t xml:space="preserve">employ statistical properties of earnings to identify thresholds </w:t>
      </w:r>
      <w:hyperlink w:anchor="_bookmark4" w:history="1">
        <w:r w:rsidRPr="00744269">
          <w:rPr>
            <w:rFonts w:asciiTheme="minorHAnsi" w:hAnsiTheme="minorHAnsi" w:cstheme="minorHAnsi"/>
            <w:sz w:val="22"/>
            <w:szCs w:val="22"/>
          </w:rPr>
          <w:t>(Lahr,</w:t>
        </w:r>
        <w:r w:rsidRPr="00744269">
          <w:rPr>
            <w:rFonts w:asciiTheme="minorHAnsi" w:hAnsiTheme="minorHAnsi" w:cstheme="minorHAnsi"/>
            <w:spacing w:val="-16"/>
            <w:sz w:val="22"/>
            <w:szCs w:val="22"/>
          </w:rPr>
          <w:t xml:space="preserve"> </w:t>
        </w:r>
      </w:hyperlink>
      <w:hyperlink w:anchor="_bookmark4" w:history="1">
        <w:r w:rsidRPr="00744269">
          <w:rPr>
            <w:rFonts w:asciiTheme="minorHAnsi" w:hAnsiTheme="minorHAnsi" w:cstheme="minorHAnsi"/>
            <w:sz w:val="22"/>
            <w:szCs w:val="22"/>
          </w:rPr>
          <w:t>2014).</w:t>
        </w:r>
      </w:hyperlink>
    </w:p>
    <w:p w14:paraId="5A823154" w14:textId="77777777" w:rsidR="005D57AB" w:rsidRPr="00744269" w:rsidRDefault="005D57AB" w:rsidP="005D57AB">
      <w:pPr>
        <w:pStyle w:val="BodyText"/>
        <w:spacing w:before="2"/>
        <w:rPr>
          <w:rFonts w:asciiTheme="minorHAnsi" w:hAnsiTheme="minorHAnsi" w:cstheme="minorHAnsi"/>
          <w:sz w:val="36"/>
          <w:szCs w:val="22"/>
        </w:rPr>
      </w:pPr>
    </w:p>
    <w:p w14:paraId="4FAB5123" w14:textId="77777777" w:rsidR="005D57AB" w:rsidRPr="00744269" w:rsidRDefault="005D57AB" w:rsidP="005D57AB">
      <w:pPr>
        <w:pStyle w:val="Heading2"/>
        <w:ind w:left="113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 xml:space="preserve">2.2.1 Equations </w:t>
      </w:r>
    </w:p>
    <w:p w14:paraId="7A547B96" w14:textId="55ABF370" w:rsidR="005D57AB" w:rsidRPr="00744269" w:rsidRDefault="00744269" w:rsidP="005D57AB">
      <w:pPr>
        <w:pStyle w:val="BodyText"/>
        <w:spacing w:before="94"/>
        <w:ind w:left="1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5D57AB" w:rsidRPr="00744269">
        <w:rPr>
          <w:rFonts w:asciiTheme="minorHAnsi" w:hAnsiTheme="minorHAnsi" w:cstheme="minorHAnsi"/>
          <w:sz w:val="22"/>
          <w:szCs w:val="22"/>
        </w:rPr>
        <w:t xml:space="preserve"> results would be biased. The modified model of Jones (1995) is:</w:t>
      </w:r>
    </w:p>
    <w:p w14:paraId="16161B76" w14:textId="77777777" w:rsidR="005D57AB" w:rsidRPr="00744269" w:rsidRDefault="005D57AB" w:rsidP="005D57AB">
      <w:pPr>
        <w:spacing w:before="7" w:line="259" w:lineRule="auto"/>
        <w:ind w:left="412" w:right="240"/>
        <w:rPr>
          <w:rFonts w:asciiTheme="minorHAnsi" w:hAnsiTheme="minorHAnsi" w:cstheme="minorHAnsi"/>
          <w:szCs w:val="24"/>
        </w:rPr>
      </w:pPr>
      <w:r w:rsidRPr="00744269">
        <w:rPr>
          <w:rFonts w:asciiTheme="minorHAnsi" w:hAnsiTheme="minorHAnsi" w:cstheme="minorHAnsi"/>
          <w:w w:val="105"/>
          <w:szCs w:val="24"/>
        </w:rPr>
        <w:t>TA</w:t>
      </w:r>
      <w:r w:rsidRPr="00744269">
        <w:rPr>
          <w:rFonts w:asciiTheme="minorHAnsi" w:hAnsiTheme="minorHAnsi" w:cstheme="minorHAnsi"/>
          <w:i/>
          <w:w w:val="105"/>
          <w:szCs w:val="24"/>
          <w:vertAlign w:val="subscript"/>
        </w:rPr>
        <w:t>it</w:t>
      </w:r>
      <w:r w:rsidRPr="00744269">
        <w:rPr>
          <w:rFonts w:asciiTheme="minorHAnsi" w:hAnsiTheme="minorHAnsi" w:cstheme="minorHAnsi"/>
          <w:i/>
          <w:w w:val="105"/>
          <w:szCs w:val="24"/>
        </w:rPr>
        <w:t xml:space="preserve"> </w:t>
      </w:r>
      <w:r w:rsidRPr="00744269">
        <w:rPr>
          <w:rFonts w:asciiTheme="minorHAnsi" w:hAnsiTheme="minorHAnsi" w:cstheme="minorHAnsi"/>
          <w:w w:val="105"/>
          <w:szCs w:val="24"/>
        </w:rPr>
        <w:t>/A</w:t>
      </w:r>
      <w:r w:rsidRPr="00744269">
        <w:rPr>
          <w:rFonts w:asciiTheme="minorHAnsi" w:hAnsiTheme="minorHAnsi" w:cstheme="minorHAnsi"/>
          <w:i/>
          <w:w w:val="105"/>
          <w:szCs w:val="24"/>
          <w:vertAlign w:val="subscript"/>
        </w:rPr>
        <w:t>it−</w:t>
      </w:r>
      <w:r w:rsidRPr="00744269">
        <w:rPr>
          <w:rFonts w:asciiTheme="minorHAnsi" w:hAnsiTheme="minorHAnsi" w:cstheme="minorHAnsi"/>
          <w:w w:val="105"/>
          <w:szCs w:val="24"/>
          <w:vertAlign w:val="subscript"/>
        </w:rPr>
        <w:t>1</w:t>
      </w:r>
      <w:r w:rsidRPr="00744269">
        <w:rPr>
          <w:rFonts w:asciiTheme="minorHAnsi" w:hAnsiTheme="minorHAnsi" w:cstheme="minorHAnsi"/>
          <w:w w:val="105"/>
          <w:szCs w:val="24"/>
        </w:rPr>
        <w:t xml:space="preserve"> = â</w:t>
      </w:r>
      <w:r w:rsidRPr="00744269">
        <w:rPr>
          <w:rFonts w:asciiTheme="minorHAnsi" w:hAnsiTheme="minorHAnsi" w:cstheme="minorHAnsi"/>
          <w:w w:val="105"/>
          <w:szCs w:val="24"/>
          <w:vertAlign w:val="subscript"/>
        </w:rPr>
        <w:t>1</w:t>
      </w:r>
      <w:r w:rsidRPr="00744269">
        <w:rPr>
          <w:rFonts w:asciiTheme="minorHAnsi" w:hAnsiTheme="minorHAnsi" w:cstheme="minorHAnsi"/>
          <w:w w:val="105"/>
          <w:szCs w:val="24"/>
        </w:rPr>
        <w:t>(A</w:t>
      </w:r>
      <w:r w:rsidRPr="00744269">
        <w:rPr>
          <w:rFonts w:asciiTheme="minorHAnsi" w:hAnsiTheme="minorHAnsi" w:cstheme="minorHAnsi"/>
          <w:i/>
          <w:w w:val="105"/>
          <w:szCs w:val="24"/>
          <w:vertAlign w:val="subscript"/>
        </w:rPr>
        <w:t>i,t</w:t>
      </w:r>
      <w:r w:rsidRPr="00744269">
        <w:rPr>
          <w:rFonts w:asciiTheme="minorHAnsi" w:hAnsiTheme="minorHAnsi" w:cstheme="minorHAnsi"/>
          <w:w w:val="105"/>
          <w:szCs w:val="24"/>
        </w:rPr>
        <w:t>) + â</w:t>
      </w:r>
      <w:r w:rsidRPr="00744269">
        <w:rPr>
          <w:rFonts w:asciiTheme="minorHAnsi" w:hAnsiTheme="minorHAnsi" w:cstheme="minorHAnsi"/>
          <w:w w:val="105"/>
          <w:szCs w:val="24"/>
          <w:vertAlign w:val="subscript"/>
        </w:rPr>
        <w:t>2</w:t>
      </w:r>
      <w:r w:rsidRPr="00744269">
        <w:rPr>
          <w:rFonts w:asciiTheme="minorHAnsi" w:hAnsiTheme="minorHAnsi" w:cstheme="minorHAnsi"/>
          <w:w w:val="105"/>
          <w:szCs w:val="24"/>
        </w:rPr>
        <w:t>(∆REV</w:t>
      </w:r>
      <w:r w:rsidRPr="00744269">
        <w:rPr>
          <w:rFonts w:asciiTheme="minorHAnsi" w:hAnsiTheme="minorHAnsi" w:cstheme="minorHAnsi"/>
          <w:i/>
          <w:w w:val="105"/>
          <w:szCs w:val="24"/>
          <w:vertAlign w:val="subscript"/>
        </w:rPr>
        <w:t>it</w:t>
      </w:r>
      <w:r w:rsidRPr="00744269">
        <w:rPr>
          <w:rFonts w:asciiTheme="minorHAnsi" w:hAnsiTheme="minorHAnsi" w:cstheme="minorHAnsi"/>
          <w:i/>
          <w:w w:val="105"/>
          <w:szCs w:val="24"/>
        </w:rPr>
        <w:t xml:space="preserve"> </w:t>
      </w:r>
      <w:r w:rsidRPr="00744269">
        <w:rPr>
          <w:rFonts w:asciiTheme="minorHAnsi" w:hAnsiTheme="minorHAnsi" w:cstheme="minorHAnsi"/>
          <w:w w:val="105"/>
          <w:szCs w:val="24"/>
        </w:rPr>
        <w:t>– ∆REC</w:t>
      </w:r>
      <w:r w:rsidRPr="00744269">
        <w:rPr>
          <w:rFonts w:asciiTheme="minorHAnsi" w:hAnsiTheme="minorHAnsi" w:cstheme="minorHAnsi"/>
          <w:i/>
          <w:w w:val="105"/>
          <w:szCs w:val="24"/>
          <w:vertAlign w:val="subscript"/>
        </w:rPr>
        <w:t>it,</w:t>
      </w:r>
      <w:r w:rsidRPr="00744269">
        <w:rPr>
          <w:rFonts w:asciiTheme="minorHAnsi" w:hAnsiTheme="minorHAnsi" w:cstheme="minorHAnsi"/>
          <w:w w:val="105"/>
          <w:szCs w:val="24"/>
        </w:rPr>
        <w:t>) /A</w:t>
      </w:r>
      <w:r w:rsidRPr="00744269">
        <w:rPr>
          <w:rFonts w:asciiTheme="minorHAnsi" w:hAnsiTheme="minorHAnsi" w:cstheme="minorHAnsi"/>
          <w:i/>
          <w:w w:val="105"/>
          <w:szCs w:val="24"/>
          <w:vertAlign w:val="subscript"/>
        </w:rPr>
        <w:t>it−</w:t>
      </w:r>
      <w:r w:rsidRPr="00744269">
        <w:rPr>
          <w:rFonts w:asciiTheme="minorHAnsi" w:hAnsiTheme="minorHAnsi" w:cstheme="minorHAnsi"/>
          <w:w w:val="105"/>
          <w:szCs w:val="24"/>
          <w:vertAlign w:val="subscript"/>
        </w:rPr>
        <w:t>1</w:t>
      </w:r>
      <w:r w:rsidRPr="00744269">
        <w:rPr>
          <w:rFonts w:asciiTheme="minorHAnsi" w:hAnsiTheme="minorHAnsi" w:cstheme="minorHAnsi"/>
          <w:w w:val="105"/>
          <w:szCs w:val="24"/>
        </w:rPr>
        <w:t xml:space="preserve"> + â </w:t>
      </w:r>
      <w:r w:rsidRPr="00744269">
        <w:rPr>
          <w:rFonts w:asciiTheme="minorHAnsi" w:hAnsiTheme="minorHAnsi" w:cstheme="minorHAnsi"/>
          <w:w w:val="105"/>
          <w:szCs w:val="24"/>
          <w:vertAlign w:val="subscript"/>
        </w:rPr>
        <w:t>3</w:t>
      </w:r>
      <w:r w:rsidRPr="00744269">
        <w:rPr>
          <w:rFonts w:asciiTheme="minorHAnsi" w:hAnsiTheme="minorHAnsi" w:cstheme="minorHAnsi"/>
          <w:w w:val="105"/>
          <w:szCs w:val="24"/>
        </w:rPr>
        <w:t>PPE</w:t>
      </w:r>
      <w:r w:rsidRPr="00744269">
        <w:rPr>
          <w:rFonts w:asciiTheme="minorHAnsi" w:hAnsiTheme="minorHAnsi" w:cstheme="minorHAnsi"/>
          <w:i/>
          <w:w w:val="105"/>
          <w:szCs w:val="24"/>
          <w:vertAlign w:val="subscript"/>
        </w:rPr>
        <w:t>it</w:t>
      </w:r>
      <w:r w:rsidRPr="00744269">
        <w:rPr>
          <w:rFonts w:asciiTheme="minorHAnsi" w:hAnsiTheme="minorHAnsi" w:cstheme="minorHAnsi"/>
          <w:w w:val="105"/>
          <w:szCs w:val="24"/>
        </w:rPr>
        <w:t>/A</w:t>
      </w:r>
      <w:r w:rsidRPr="00744269">
        <w:rPr>
          <w:rFonts w:asciiTheme="minorHAnsi" w:hAnsiTheme="minorHAnsi" w:cstheme="minorHAnsi"/>
          <w:i/>
          <w:w w:val="105"/>
          <w:szCs w:val="24"/>
          <w:vertAlign w:val="subscript"/>
        </w:rPr>
        <w:t>it−</w:t>
      </w:r>
      <w:r w:rsidRPr="00744269">
        <w:rPr>
          <w:rFonts w:asciiTheme="minorHAnsi" w:hAnsiTheme="minorHAnsi" w:cstheme="minorHAnsi"/>
          <w:w w:val="105"/>
          <w:szCs w:val="24"/>
          <w:vertAlign w:val="subscript"/>
        </w:rPr>
        <w:t>1</w:t>
      </w:r>
      <w:r w:rsidRPr="00744269">
        <w:rPr>
          <w:rFonts w:asciiTheme="minorHAnsi" w:hAnsiTheme="minorHAnsi" w:cstheme="minorHAnsi"/>
          <w:w w:val="105"/>
          <w:szCs w:val="24"/>
        </w:rPr>
        <w:t xml:space="preserve"> (2) Where:</w:t>
      </w:r>
    </w:p>
    <w:p w14:paraId="69283BFB" w14:textId="77777777" w:rsidR="005D57AB" w:rsidRPr="00744269" w:rsidRDefault="005D57AB" w:rsidP="005D57AB">
      <w:pPr>
        <w:pStyle w:val="BodyText"/>
        <w:spacing w:before="19"/>
        <w:ind w:left="412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>TA</w:t>
      </w:r>
      <w:r w:rsidRPr="00744269">
        <w:rPr>
          <w:rFonts w:asciiTheme="minorHAnsi" w:hAnsiTheme="minorHAnsi" w:cstheme="minorHAnsi"/>
          <w:i/>
          <w:sz w:val="22"/>
          <w:szCs w:val="22"/>
          <w:vertAlign w:val="subscript"/>
        </w:rPr>
        <w:t>it</w:t>
      </w:r>
      <w:r w:rsidRPr="0074426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are the total accruals for firm I in period t,</w:t>
      </w:r>
    </w:p>
    <w:p w14:paraId="4CE3E3FA" w14:textId="518A41E3" w:rsidR="005D57AB" w:rsidRPr="00744269" w:rsidRDefault="005D57AB" w:rsidP="005D57AB">
      <w:pPr>
        <w:pStyle w:val="BodyText"/>
        <w:spacing w:before="6"/>
        <w:ind w:left="412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>∆REV</w:t>
      </w:r>
      <w:r w:rsidRPr="00744269">
        <w:rPr>
          <w:rFonts w:asciiTheme="minorHAnsi" w:hAnsiTheme="minorHAnsi" w:cstheme="minorHAnsi"/>
          <w:i/>
          <w:sz w:val="22"/>
          <w:szCs w:val="22"/>
          <w:vertAlign w:val="subscript"/>
        </w:rPr>
        <w:t>it</w:t>
      </w:r>
      <w:r w:rsidRPr="0074426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is the variation in the sales of firm i in year t compared to year t - ,</w:t>
      </w:r>
    </w:p>
    <w:p w14:paraId="400E7649" w14:textId="05DC99AD" w:rsidR="003328FC" w:rsidRPr="00744269" w:rsidRDefault="003328FC" w:rsidP="005D57AB">
      <w:pPr>
        <w:pStyle w:val="BodyText"/>
        <w:spacing w:before="6"/>
        <w:ind w:left="412"/>
        <w:rPr>
          <w:rFonts w:asciiTheme="minorHAnsi" w:hAnsiTheme="minorHAnsi" w:cstheme="minorHAnsi"/>
          <w:sz w:val="22"/>
          <w:szCs w:val="22"/>
        </w:rPr>
      </w:pPr>
    </w:p>
    <w:p w14:paraId="7B003C70" w14:textId="531B968A" w:rsidR="003328FC" w:rsidRPr="00744269" w:rsidRDefault="003328FC" w:rsidP="005D57AB">
      <w:pPr>
        <w:pStyle w:val="BodyText"/>
        <w:spacing w:before="6"/>
        <w:ind w:left="412"/>
        <w:rPr>
          <w:rFonts w:asciiTheme="minorHAnsi" w:hAnsiTheme="minorHAnsi" w:cstheme="minorHAnsi"/>
          <w:sz w:val="22"/>
          <w:szCs w:val="22"/>
        </w:rPr>
      </w:pPr>
    </w:p>
    <w:p w14:paraId="7794C15A" w14:textId="0201FB1F" w:rsidR="003328FC" w:rsidRPr="00744269" w:rsidRDefault="003328FC" w:rsidP="003328FC">
      <w:pPr>
        <w:pStyle w:val="Heading1"/>
        <w:numPr>
          <w:ilvl w:val="0"/>
          <w:numId w:val="1"/>
        </w:numPr>
        <w:tabs>
          <w:tab w:val="left" w:pos="433"/>
        </w:tabs>
        <w:spacing w:before="150"/>
        <w:rPr>
          <w:rFonts w:asciiTheme="minorHAnsi" w:hAnsiTheme="minorHAnsi" w:cstheme="minorHAnsi"/>
          <w:sz w:val="28"/>
          <w:szCs w:val="28"/>
        </w:rPr>
      </w:pPr>
      <w:r w:rsidRPr="00744269">
        <w:rPr>
          <w:rFonts w:asciiTheme="minorHAnsi" w:hAnsiTheme="minorHAnsi" w:cstheme="minorHAnsi"/>
          <w:sz w:val="28"/>
          <w:szCs w:val="28"/>
        </w:rPr>
        <w:t>Results</w:t>
      </w:r>
    </w:p>
    <w:p w14:paraId="646AFDBA" w14:textId="77777777" w:rsidR="003328FC" w:rsidRPr="00744269" w:rsidRDefault="003328FC" w:rsidP="005D57AB">
      <w:pPr>
        <w:pStyle w:val="BodyText"/>
        <w:spacing w:before="6"/>
        <w:ind w:left="412"/>
        <w:rPr>
          <w:rFonts w:asciiTheme="minorHAnsi" w:hAnsiTheme="minorHAnsi" w:cstheme="minorHAnsi"/>
          <w:sz w:val="22"/>
          <w:szCs w:val="22"/>
        </w:rPr>
      </w:pPr>
    </w:p>
    <w:p w14:paraId="333CD5C6" w14:textId="77777777" w:rsidR="005D57AB" w:rsidRPr="00744269" w:rsidRDefault="005D57AB" w:rsidP="005D57AB">
      <w:pPr>
        <w:pStyle w:val="BodyText"/>
        <w:spacing w:before="6"/>
        <w:ind w:left="412"/>
        <w:rPr>
          <w:rFonts w:asciiTheme="minorHAnsi" w:hAnsiTheme="minorHAnsi" w:cstheme="minorHAnsi"/>
          <w:sz w:val="22"/>
          <w:szCs w:val="22"/>
        </w:rPr>
      </w:pPr>
    </w:p>
    <w:p w14:paraId="7242006D" w14:textId="77777777" w:rsidR="005D57AB" w:rsidRPr="00744269" w:rsidRDefault="45DAA7BE" w:rsidP="45DAA7BE">
      <w:pPr>
        <w:pStyle w:val="Heading1"/>
        <w:numPr>
          <w:ilvl w:val="0"/>
          <w:numId w:val="1"/>
        </w:numPr>
        <w:tabs>
          <w:tab w:val="left" w:pos="433"/>
        </w:tabs>
        <w:spacing w:before="150"/>
        <w:rPr>
          <w:rFonts w:asciiTheme="minorHAnsi" w:hAnsiTheme="minorHAnsi" w:cstheme="minorBidi"/>
          <w:sz w:val="28"/>
          <w:szCs w:val="28"/>
        </w:rPr>
      </w:pPr>
      <w:bookmarkStart w:id="0" w:name="_Hlk72173874"/>
      <w:r w:rsidRPr="45DAA7BE">
        <w:rPr>
          <w:rFonts w:asciiTheme="minorHAnsi" w:hAnsiTheme="minorHAnsi" w:cstheme="minorBidi"/>
          <w:sz w:val="28"/>
          <w:szCs w:val="28"/>
        </w:rPr>
        <w:t>Conclusions</w:t>
      </w:r>
      <w:bookmarkEnd w:id="0"/>
    </w:p>
    <w:p w14:paraId="584DA603" w14:textId="77777777" w:rsidR="005D57AB" w:rsidRPr="00744269" w:rsidRDefault="005D57AB" w:rsidP="005D57AB">
      <w:pPr>
        <w:pStyle w:val="BodyText"/>
        <w:spacing w:before="6"/>
        <w:ind w:left="412"/>
        <w:rPr>
          <w:rFonts w:asciiTheme="minorHAnsi" w:hAnsiTheme="minorHAnsi" w:cstheme="minorHAnsi"/>
          <w:sz w:val="22"/>
          <w:szCs w:val="22"/>
        </w:rPr>
      </w:pPr>
    </w:p>
    <w:p w14:paraId="6E75C43B" w14:textId="77777777" w:rsidR="005D57AB" w:rsidRPr="00744269" w:rsidRDefault="005D57AB" w:rsidP="005D57AB">
      <w:pPr>
        <w:pStyle w:val="BodyText"/>
        <w:spacing w:before="6"/>
        <w:ind w:left="412"/>
        <w:rPr>
          <w:rFonts w:asciiTheme="minorHAnsi" w:hAnsiTheme="minorHAnsi" w:cstheme="minorHAnsi"/>
          <w:sz w:val="22"/>
          <w:szCs w:val="22"/>
        </w:rPr>
      </w:pPr>
    </w:p>
    <w:p w14:paraId="6E625B6C" w14:textId="3331ED7A" w:rsidR="005D3513" w:rsidRPr="00744269" w:rsidRDefault="005D3513" w:rsidP="003328FC">
      <w:pPr>
        <w:pStyle w:val="Heading1"/>
        <w:tabs>
          <w:tab w:val="left" w:pos="433"/>
        </w:tabs>
        <w:spacing w:before="150"/>
        <w:rPr>
          <w:rFonts w:asciiTheme="minorHAnsi" w:hAnsiTheme="minorHAnsi" w:cstheme="minorHAnsi"/>
          <w:sz w:val="28"/>
          <w:szCs w:val="28"/>
        </w:rPr>
      </w:pPr>
      <w:r w:rsidRPr="00744269">
        <w:rPr>
          <w:rFonts w:asciiTheme="minorHAnsi" w:hAnsiTheme="minorHAnsi" w:cstheme="minorHAnsi"/>
          <w:sz w:val="28"/>
          <w:szCs w:val="28"/>
        </w:rPr>
        <w:t>References</w:t>
      </w:r>
    </w:p>
    <w:p w14:paraId="33BB7B7B" w14:textId="77777777" w:rsidR="005D3513" w:rsidRPr="003328FC" w:rsidRDefault="005D3513">
      <w:pPr>
        <w:rPr>
          <w:rFonts w:asciiTheme="minorHAnsi" w:hAnsiTheme="minorHAnsi" w:cstheme="minorHAnsi"/>
          <w:sz w:val="24"/>
          <w:szCs w:val="24"/>
        </w:rPr>
      </w:pPr>
    </w:p>
    <w:p w14:paraId="658A145C" w14:textId="77777777" w:rsidR="005D3513" w:rsidRPr="003328FC" w:rsidRDefault="005D3513">
      <w:pPr>
        <w:rPr>
          <w:rFonts w:asciiTheme="minorHAnsi" w:hAnsiTheme="minorHAnsi" w:cstheme="minorHAnsi"/>
          <w:sz w:val="24"/>
          <w:szCs w:val="24"/>
        </w:rPr>
      </w:pPr>
    </w:p>
    <w:p w14:paraId="70329EAC" w14:textId="77777777" w:rsidR="005D3513" w:rsidRPr="003328FC" w:rsidRDefault="005D3513" w:rsidP="005D3513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3328FC">
        <w:rPr>
          <w:rFonts w:asciiTheme="minorHAnsi" w:hAnsiTheme="minorHAnsi" w:cstheme="minorHAnsi"/>
        </w:rPr>
        <w:fldChar w:fldCharType="begin"/>
      </w:r>
      <w:r w:rsidRPr="003328FC">
        <w:rPr>
          <w:rFonts w:asciiTheme="minorHAnsi" w:hAnsiTheme="minorHAnsi" w:cstheme="minorHAnsi"/>
        </w:rPr>
        <w:instrText xml:space="preserve"> ADDIN EN.REFLIST </w:instrText>
      </w:r>
      <w:r w:rsidRPr="003328FC">
        <w:rPr>
          <w:rFonts w:asciiTheme="minorHAnsi" w:hAnsiTheme="minorHAnsi" w:cstheme="minorHAnsi"/>
        </w:rPr>
        <w:fldChar w:fldCharType="separate"/>
      </w:r>
      <w:r w:rsidRPr="003328FC">
        <w:rPr>
          <w:rFonts w:asciiTheme="minorHAnsi" w:hAnsiTheme="minorHAnsi" w:cstheme="minorHAnsi"/>
        </w:rPr>
        <w:t xml:space="preserve">Jeanjean, T., &amp; Stolowy, H. (2008). Do accounting standards matter? An exploratory analysis of earnings management before and after IFRS adoption. </w:t>
      </w:r>
      <w:r w:rsidRPr="003328FC">
        <w:rPr>
          <w:rFonts w:asciiTheme="minorHAnsi" w:hAnsiTheme="minorHAnsi" w:cstheme="minorHAnsi"/>
          <w:i/>
        </w:rPr>
        <w:t>Journal of Accounting and Public Policy</w:t>
      </w:r>
      <w:r w:rsidRPr="003328FC">
        <w:rPr>
          <w:rFonts w:asciiTheme="minorHAnsi" w:hAnsiTheme="minorHAnsi" w:cstheme="minorHAnsi"/>
        </w:rPr>
        <w:t>,</w:t>
      </w:r>
      <w:r w:rsidRPr="003328FC">
        <w:rPr>
          <w:rFonts w:asciiTheme="minorHAnsi" w:hAnsiTheme="minorHAnsi" w:cstheme="minorHAnsi"/>
          <w:i/>
        </w:rPr>
        <w:t xml:space="preserve"> 27</w:t>
      </w:r>
      <w:r w:rsidRPr="003328FC">
        <w:rPr>
          <w:rFonts w:asciiTheme="minorHAnsi" w:hAnsiTheme="minorHAnsi" w:cstheme="minorHAnsi"/>
        </w:rPr>
        <w:t xml:space="preserve">(6), 480-494. </w:t>
      </w:r>
    </w:p>
    <w:p w14:paraId="09F16764" w14:textId="217D331E" w:rsidR="005D3513" w:rsidRPr="003328FC" w:rsidRDefault="005D3513" w:rsidP="005D3513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3328FC">
        <w:rPr>
          <w:rFonts w:asciiTheme="minorHAnsi" w:hAnsiTheme="minorHAnsi" w:cstheme="minorHAnsi"/>
        </w:rPr>
        <w:t xml:space="preserve">Perera, D., &amp; Chand, P. (2015). Issues in the adoption of international financial reporting standards (IFRS) for small and medium-sized enterprises (SMES). </w:t>
      </w:r>
      <w:r w:rsidRPr="003328FC">
        <w:rPr>
          <w:rFonts w:asciiTheme="minorHAnsi" w:hAnsiTheme="minorHAnsi" w:cstheme="minorHAnsi"/>
          <w:i/>
        </w:rPr>
        <w:t>Advances in Accounting</w:t>
      </w:r>
      <w:r w:rsidRPr="003328FC">
        <w:rPr>
          <w:rFonts w:asciiTheme="minorHAnsi" w:hAnsiTheme="minorHAnsi" w:cstheme="minorHAnsi"/>
        </w:rPr>
        <w:t>,</w:t>
      </w:r>
      <w:r w:rsidRPr="003328FC">
        <w:rPr>
          <w:rFonts w:asciiTheme="minorHAnsi" w:hAnsiTheme="minorHAnsi" w:cstheme="minorHAnsi"/>
          <w:i/>
        </w:rPr>
        <w:t xml:space="preserve"> 31</w:t>
      </w:r>
      <w:r w:rsidRPr="003328FC">
        <w:rPr>
          <w:rFonts w:asciiTheme="minorHAnsi" w:hAnsiTheme="minorHAnsi" w:cstheme="minorHAnsi"/>
        </w:rPr>
        <w:t xml:space="preserve">(1), 165-178. </w:t>
      </w:r>
      <w:hyperlink r:id="rId7" w:history="1">
        <w:r w:rsidRPr="003328FC">
          <w:rPr>
            <w:rStyle w:val="Hyperlink"/>
            <w:rFonts w:asciiTheme="minorHAnsi" w:hAnsiTheme="minorHAnsi" w:cstheme="minorHAnsi"/>
          </w:rPr>
          <w:t>https://doi.org/10.1016/j.adiac.2015.03.012</w:t>
        </w:r>
      </w:hyperlink>
      <w:r w:rsidRPr="003328FC">
        <w:rPr>
          <w:rFonts w:asciiTheme="minorHAnsi" w:hAnsiTheme="minorHAnsi" w:cstheme="minorHAnsi"/>
        </w:rPr>
        <w:t xml:space="preserve"> </w:t>
      </w:r>
    </w:p>
    <w:p w14:paraId="74C14F44" w14:textId="54FCBE16" w:rsidR="005D57AB" w:rsidRPr="003328FC" w:rsidRDefault="005D3513">
      <w:pPr>
        <w:rPr>
          <w:rFonts w:asciiTheme="minorHAnsi" w:hAnsiTheme="minorHAnsi" w:cstheme="minorHAnsi"/>
        </w:rPr>
      </w:pPr>
      <w:r w:rsidRPr="003328FC">
        <w:rPr>
          <w:rFonts w:asciiTheme="minorHAnsi" w:hAnsiTheme="minorHAnsi" w:cstheme="minorHAnsi"/>
        </w:rPr>
        <w:fldChar w:fldCharType="end"/>
      </w:r>
    </w:p>
    <w:sectPr w:rsidR="005D57AB" w:rsidRPr="003328F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6B79B" w14:textId="77777777" w:rsidR="009E53D2" w:rsidRDefault="009E53D2" w:rsidP="005D57AB">
      <w:r>
        <w:separator/>
      </w:r>
    </w:p>
  </w:endnote>
  <w:endnote w:type="continuationSeparator" w:id="0">
    <w:p w14:paraId="3CA6F2DB" w14:textId="77777777" w:rsidR="009E53D2" w:rsidRDefault="009E53D2" w:rsidP="005D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743741"/>
      <w:docPartObj>
        <w:docPartGallery w:val="Page Numbers (Bottom of Page)"/>
        <w:docPartUnique/>
      </w:docPartObj>
    </w:sdtPr>
    <w:sdtContent>
      <w:p w14:paraId="5EF2A63B" w14:textId="36032A16" w:rsidR="00744269" w:rsidRDefault="0074426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0C13FD05" w14:textId="77777777" w:rsidR="00744269" w:rsidRDefault="00744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B5DAE" w14:textId="77777777" w:rsidR="009E53D2" w:rsidRDefault="009E53D2" w:rsidP="005D57AB">
      <w:r>
        <w:separator/>
      </w:r>
    </w:p>
  </w:footnote>
  <w:footnote w:type="continuationSeparator" w:id="0">
    <w:p w14:paraId="5212B5E8" w14:textId="77777777" w:rsidR="009E53D2" w:rsidRDefault="009E53D2" w:rsidP="005D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62921F9" w14:paraId="5F1BF423" w14:textId="77777777" w:rsidTr="362921F9">
      <w:tc>
        <w:tcPr>
          <w:tcW w:w="2765" w:type="dxa"/>
        </w:tcPr>
        <w:p w14:paraId="78E99122" w14:textId="565B43E3" w:rsidR="362921F9" w:rsidRDefault="362921F9" w:rsidP="362921F9">
          <w:pPr>
            <w:pStyle w:val="Header"/>
            <w:ind w:left="-115"/>
          </w:pPr>
        </w:p>
      </w:tc>
      <w:tc>
        <w:tcPr>
          <w:tcW w:w="2765" w:type="dxa"/>
        </w:tcPr>
        <w:p w14:paraId="7C59119D" w14:textId="0E28C02E" w:rsidR="362921F9" w:rsidRDefault="362921F9" w:rsidP="362921F9">
          <w:pPr>
            <w:pStyle w:val="Header"/>
            <w:jc w:val="center"/>
          </w:pPr>
        </w:p>
      </w:tc>
      <w:tc>
        <w:tcPr>
          <w:tcW w:w="2765" w:type="dxa"/>
        </w:tcPr>
        <w:p w14:paraId="202EAB1A" w14:textId="4F75D29C" w:rsidR="362921F9" w:rsidRDefault="362921F9" w:rsidP="362921F9">
          <w:pPr>
            <w:pStyle w:val="Header"/>
            <w:ind w:right="-115"/>
            <w:jc w:val="right"/>
          </w:pPr>
        </w:p>
      </w:tc>
    </w:tr>
  </w:tbl>
  <w:p w14:paraId="47FD7026" w14:textId="2DE96EE1" w:rsidR="362921F9" w:rsidRDefault="362921F9" w:rsidP="36292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111AF"/>
    <w:multiLevelType w:val="multilevel"/>
    <w:tmpl w:val="12AA75E6"/>
    <w:lvl w:ilvl="0">
      <w:start w:val="1"/>
      <w:numFmt w:val="decimal"/>
      <w:lvlText w:val="%1"/>
      <w:lvlJc w:val="left"/>
      <w:pPr>
        <w:ind w:left="432" w:hanging="31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62" w:hanging="449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720" w:hanging="44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5" w:hanging="44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370" w:hanging="44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195" w:hanging="44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020" w:hanging="44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845" w:hanging="44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5670" w:hanging="449"/>
      </w:pPr>
      <w:rPr>
        <w:rFonts w:hint="default"/>
        <w:lang w:val="en-US" w:eastAsia="en-US" w:bidi="en-US"/>
      </w:rPr>
    </w:lvl>
  </w:abstractNum>
  <w:num w:numId="1" w16cid:durableId="59625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xz052swgs5a0iezwf6xwppgfv2v0w9d05sr&quot;&gt;My EndNote Library&lt;record-ids&gt;&lt;item&gt;9395&lt;/item&gt;&lt;item&gt;9433&lt;/item&gt;&lt;/record-ids&gt;&lt;/item&gt;&lt;/Libraries&gt;"/>
  </w:docVars>
  <w:rsids>
    <w:rsidRoot w:val="005D57AB"/>
    <w:rsid w:val="001021BE"/>
    <w:rsid w:val="00177338"/>
    <w:rsid w:val="002D6CD9"/>
    <w:rsid w:val="003328FC"/>
    <w:rsid w:val="005D3513"/>
    <w:rsid w:val="005D57AB"/>
    <w:rsid w:val="0068440E"/>
    <w:rsid w:val="00744269"/>
    <w:rsid w:val="009E53D2"/>
    <w:rsid w:val="00A15BB6"/>
    <w:rsid w:val="00C130C3"/>
    <w:rsid w:val="028C14C4"/>
    <w:rsid w:val="0CC5FD7F"/>
    <w:rsid w:val="305BAF1E"/>
    <w:rsid w:val="362921F9"/>
    <w:rsid w:val="45DAA7BE"/>
    <w:rsid w:val="5F85C59A"/>
    <w:rsid w:val="7339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2D7D0"/>
  <w15:chartTrackingRefBased/>
  <w15:docId w15:val="{C3412433-3E76-45F7-B3B6-2E2D57AD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5D57AB"/>
    <w:pPr>
      <w:spacing w:before="106"/>
      <w:ind w:left="432" w:hanging="3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5D57AB"/>
    <w:pPr>
      <w:spacing w:before="1"/>
      <w:ind w:left="56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7AB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5D57AB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5D57A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57AB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table" w:customStyle="1" w:styleId="TableNormal1">
    <w:name w:val="Table Normal1"/>
    <w:uiPriority w:val="2"/>
    <w:semiHidden/>
    <w:unhideWhenUsed/>
    <w:qFormat/>
    <w:rsid w:val="005D5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57AB"/>
    <w:pPr>
      <w:spacing w:line="219" w:lineRule="exact"/>
      <w:ind w:left="119"/>
    </w:pPr>
  </w:style>
  <w:style w:type="paragraph" w:customStyle="1" w:styleId="EndNoteBibliographyTitle">
    <w:name w:val="EndNote Bibliography Title"/>
    <w:basedOn w:val="Normal"/>
    <w:link w:val="EndNoteBibliographyTitleChar"/>
    <w:rsid w:val="005D351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BodyTextChar"/>
    <w:link w:val="EndNoteBibliographyTitle"/>
    <w:rsid w:val="005D3513"/>
    <w:rPr>
      <w:rFonts w:ascii="Times New Roman" w:eastAsia="Times New Roman" w:hAnsi="Times New Roman" w:cs="Times New Roman"/>
      <w:noProof/>
      <w:sz w:val="20"/>
      <w:szCs w:val="20"/>
      <w:lang w:val="en-US" w:bidi="en-US"/>
    </w:rPr>
  </w:style>
  <w:style w:type="paragraph" w:customStyle="1" w:styleId="EndNoteBibliography">
    <w:name w:val="EndNote Bibliography"/>
    <w:basedOn w:val="Normal"/>
    <w:link w:val="EndNoteBibliographyChar"/>
    <w:rsid w:val="005D3513"/>
    <w:rPr>
      <w:noProof/>
    </w:rPr>
  </w:style>
  <w:style w:type="character" w:customStyle="1" w:styleId="EndNoteBibliographyChar">
    <w:name w:val="EndNote Bibliography Char"/>
    <w:basedOn w:val="BodyTextChar"/>
    <w:link w:val="EndNoteBibliography"/>
    <w:rsid w:val="005D3513"/>
    <w:rPr>
      <w:rFonts w:ascii="Times New Roman" w:eastAsia="Times New Roman" w:hAnsi="Times New Roman" w:cs="Times New Roman"/>
      <w:noProof/>
      <w:sz w:val="20"/>
      <w:szCs w:val="20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5D35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5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42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269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442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269"/>
    <w:rPr>
      <w:rFonts w:ascii="Times New Roman" w:eastAsia="Times New Roman" w:hAnsi="Times New Roman" w:cs="Times New Roman"/>
      <w:lang w:val="en-US" w:bidi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adiac.2015.03.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Peppas</dc:creator>
  <cp:keywords/>
  <dc:description/>
  <cp:lastModifiedBy>George Peppas</cp:lastModifiedBy>
  <cp:revision>11</cp:revision>
  <dcterms:created xsi:type="dcterms:W3CDTF">2021-05-18T15:05:00Z</dcterms:created>
  <dcterms:modified xsi:type="dcterms:W3CDTF">2024-10-16T06:32:00Z</dcterms:modified>
</cp:coreProperties>
</file>